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C02F2E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left" w:pos="9356"/>
        </w:tabs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                              INSTITUTO “NUESTRA SEÑORA DEL HUERTO” (A-326)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351B9AB" wp14:editId="514CC284">
            <wp:simplePos x="0" y="0"/>
            <wp:positionH relativeFrom="column">
              <wp:posOffset>31116</wp:posOffset>
            </wp:positionH>
            <wp:positionV relativeFrom="paragraph">
              <wp:posOffset>-28574</wp:posOffset>
            </wp:positionV>
            <wp:extent cx="1143000" cy="1336040"/>
            <wp:effectExtent l="0" t="0" r="0" b="0"/>
            <wp:wrapNone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3360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8CF234A" wp14:editId="0D897F7D">
            <wp:simplePos x="0" y="0"/>
            <wp:positionH relativeFrom="column">
              <wp:posOffset>4457700</wp:posOffset>
            </wp:positionH>
            <wp:positionV relativeFrom="paragraph">
              <wp:posOffset>-114299</wp:posOffset>
            </wp:positionV>
            <wp:extent cx="1257300" cy="1257300"/>
            <wp:effectExtent l="0" t="0" r="0" b="0"/>
            <wp:wrapNone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3DECFF9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left" w:pos="9356"/>
        </w:tabs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Avda. Gral. Mosconi 3022     CABA: 1419</w:t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6EEC9B53" wp14:editId="060FB2D8">
            <wp:simplePos x="0" y="0"/>
            <wp:positionH relativeFrom="column">
              <wp:posOffset>164465</wp:posOffset>
            </wp:positionH>
            <wp:positionV relativeFrom="paragraph">
              <wp:posOffset>38100</wp:posOffset>
            </wp:positionV>
            <wp:extent cx="581025" cy="2952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>
                      <a:alphaModFix amt="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95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5DD829B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Tel 4571-7584</w:t>
      </w:r>
    </w:p>
    <w:p w14:paraId="4DE87DE0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Correo Electrónico: inshmos.medio@gmail.com</w:t>
      </w:r>
    </w:p>
    <w:p w14:paraId="6B31E718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8"/>
        <w:jc w:val="both"/>
        <w:rPr>
          <w:rFonts w:ascii="Arial" w:eastAsia="Arial" w:hAnsi="Arial" w:cs="Arial"/>
          <w:sz w:val="16"/>
          <w:szCs w:val="16"/>
        </w:rPr>
      </w:pPr>
      <w:bookmarkStart w:id="0" w:name="_gjdgxs" w:colFirst="0" w:colLast="0"/>
      <w:bookmarkEnd w:id="0"/>
      <w:r>
        <w:rPr>
          <w:rFonts w:ascii="Arial" w:eastAsia="Arial" w:hAnsi="Arial" w:cs="Arial"/>
          <w:sz w:val="16"/>
          <w:szCs w:val="16"/>
        </w:rPr>
        <w:t xml:space="preserve">               Página web: </w:t>
      </w:r>
      <w:hyperlink r:id="rId7">
        <w:r>
          <w:rPr>
            <w:rFonts w:ascii="Arial" w:eastAsia="Arial" w:hAnsi="Arial" w:cs="Arial"/>
            <w:color w:val="0000FF"/>
            <w:sz w:val="16"/>
            <w:szCs w:val="16"/>
            <w:u w:val="single"/>
          </w:rPr>
          <w:t>www.huertomosconi.edu.ar</w:t>
        </w:r>
      </w:hyperlink>
    </w:p>
    <w:p w14:paraId="747B730F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 Black" w:eastAsia="Arial Black" w:hAnsi="Arial Black" w:cs="Arial Black"/>
          <w:sz w:val="22"/>
          <w:szCs w:val="22"/>
        </w:rPr>
      </w:pPr>
      <w:r>
        <w:rPr>
          <w:rFonts w:ascii="Arial Black" w:eastAsia="Arial Black" w:hAnsi="Arial Black" w:cs="Arial Black"/>
          <w:sz w:val="18"/>
          <w:szCs w:val="18"/>
        </w:rPr>
        <w:t>___________________________________________________________________________________</w:t>
      </w:r>
    </w:p>
    <w:p w14:paraId="3EFA03A8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 Black" w:eastAsia="Arial Black" w:hAnsi="Arial Black" w:cs="Arial Black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</w:t>
      </w:r>
      <w:r>
        <w:rPr>
          <w:rFonts w:ascii="Arial Black" w:eastAsia="Arial Black" w:hAnsi="Arial Black" w:cs="Arial Black"/>
          <w:sz w:val="24"/>
          <w:szCs w:val="24"/>
        </w:rPr>
        <w:tab/>
      </w:r>
      <w:r>
        <w:rPr>
          <w:rFonts w:ascii="Arial Black" w:eastAsia="Arial Black" w:hAnsi="Arial Black" w:cs="Arial Black"/>
          <w:sz w:val="24"/>
          <w:szCs w:val="24"/>
        </w:rPr>
        <w:tab/>
      </w:r>
      <w:r>
        <w:rPr>
          <w:rFonts w:ascii="Arial Black" w:eastAsia="Arial Black" w:hAnsi="Arial Black" w:cs="Arial Black"/>
          <w:sz w:val="24"/>
          <w:szCs w:val="24"/>
        </w:rPr>
        <w:tab/>
      </w:r>
      <w:r>
        <w:rPr>
          <w:rFonts w:ascii="Arial Black" w:eastAsia="Arial Black" w:hAnsi="Arial Black" w:cs="Arial Black"/>
          <w:sz w:val="24"/>
          <w:szCs w:val="24"/>
        </w:rPr>
        <w:tab/>
      </w:r>
      <w:r>
        <w:rPr>
          <w:rFonts w:ascii="Arial Black" w:eastAsia="Arial Black" w:hAnsi="Arial Black" w:cs="Arial Black"/>
          <w:sz w:val="24"/>
          <w:szCs w:val="24"/>
        </w:rPr>
        <w:tab/>
      </w:r>
      <w:r>
        <w:rPr>
          <w:rFonts w:ascii="Arial Black" w:eastAsia="Arial Black" w:hAnsi="Arial Black" w:cs="Arial Black"/>
          <w:sz w:val="24"/>
          <w:szCs w:val="24"/>
        </w:rPr>
        <w:tab/>
      </w:r>
    </w:p>
    <w:p w14:paraId="186B0B97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PROGRAMA ANUAL: </w:t>
      </w:r>
      <w:r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  <w:u w:val="single"/>
        </w:rPr>
        <w:t>AÑO: 2019</w:t>
      </w:r>
    </w:p>
    <w:p w14:paraId="5DA8653D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MATERIA: Arte</w:t>
      </w:r>
      <w:r>
        <w:rPr>
          <w:b/>
          <w:sz w:val="24"/>
          <w:szCs w:val="24"/>
          <w:u w:val="single"/>
        </w:rPr>
        <w:t>: Artes Visuales</w:t>
      </w:r>
    </w:p>
    <w:p w14:paraId="2040B6A5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CURSO: 2do Año NES</w:t>
      </w:r>
    </w:p>
    <w:p w14:paraId="6DAB977A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b/>
          <w:sz w:val="24"/>
          <w:szCs w:val="24"/>
          <w:u w:val="single"/>
        </w:rPr>
        <w:t>PROFESOR</w:t>
      </w:r>
      <w:r>
        <w:rPr>
          <w:b/>
          <w:sz w:val="24"/>
          <w:szCs w:val="24"/>
        </w:rPr>
        <w:t>: L</w:t>
      </w:r>
      <w:r>
        <w:rPr>
          <w:b/>
          <w:sz w:val="24"/>
          <w:szCs w:val="24"/>
        </w:rPr>
        <w:t>ucía Da Ponte</w:t>
      </w:r>
    </w:p>
    <w:p w14:paraId="6ADF24B8" w14:textId="77777777" w:rsidR="00700515" w:rsidRDefault="007005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</w:p>
    <w:p w14:paraId="0D909B5C" w14:textId="77777777" w:rsidR="00700515" w:rsidRDefault="007005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</w:p>
    <w:p w14:paraId="7FA4DD47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OBJETIVOS DE LA MATERIA:</w:t>
      </w:r>
    </w:p>
    <w:p w14:paraId="72C9EA38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>Profundizar el estudio del color</w:t>
      </w:r>
    </w:p>
    <w:p w14:paraId="472B693E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z w:val="24"/>
          <w:szCs w:val="24"/>
        </w:rPr>
        <w:t>istinguir y apli</w:t>
      </w:r>
      <w:r>
        <w:rPr>
          <w:sz w:val="24"/>
          <w:szCs w:val="24"/>
        </w:rPr>
        <w:t>car las leyes de composición y simetría</w:t>
      </w:r>
    </w:p>
    <w:p w14:paraId="677155F3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 xml:space="preserve">Reconocer y utilizar </w:t>
      </w:r>
      <w:proofErr w:type="spellStart"/>
      <w:r>
        <w:rPr>
          <w:sz w:val="24"/>
          <w:szCs w:val="24"/>
        </w:rPr>
        <w:t>lo</w:t>
      </w:r>
      <w:proofErr w:type="spellEnd"/>
      <w:r>
        <w:rPr>
          <w:sz w:val="24"/>
          <w:szCs w:val="24"/>
        </w:rPr>
        <w:t xml:space="preserve"> indicadores espaciales en la abstracción</w:t>
      </w:r>
    </w:p>
    <w:p w14:paraId="01FB30BC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  <w:t>-Distinguir y pr</w:t>
      </w:r>
      <w:r>
        <w:rPr>
          <w:sz w:val="24"/>
          <w:szCs w:val="24"/>
        </w:rPr>
        <w:t>oducir movimiento aparente y real</w:t>
      </w:r>
    </w:p>
    <w:p w14:paraId="1C894D87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  <w:t>- Estudiar la escala en las instalaciones.</w:t>
      </w:r>
    </w:p>
    <w:p w14:paraId="5A6FF47B" w14:textId="77777777" w:rsidR="00700515" w:rsidRDefault="007005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</w:p>
    <w:p w14:paraId="14030B9F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CONTENIDOS:</w:t>
      </w:r>
    </w:p>
    <w:p w14:paraId="53E18CAE" w14:textId="77777777" w:rsidR="00700515" w:rsidRDefault="007005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</w:p>
    <w:p w14:paraId="0EDED8B7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  <w:t xml:space="preserve">UNIDAD 1: </w:t>
      </w:r>
      <w:r>
        <w:rPr>
          <w:rFonts w:ascii="Bookman Old Style" w:eastAsia="Bookman Old Style" w:hAnsi="Bookman Old Style" w:cs="Bookman Old Style"/>
          <w:b/>
          <w:sz w:val="24"/>
          <w:szCs w:val="24"/>
          <w:u w:val="single"/>
        </w:rPr>
        <w:t>El color y la composición.</w:t>
      </w:r>
    </w:p>
    <w:p w14:paraId="162C8E5E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rFonts w:ascii="Bookman Old Style" w:eastAsia="Bookman Old Style" w:hAnsi="Bookman Old Style" w:cs="Bookman Old Style"/>
          <w:sz w:val="24"/>
          <w:szCs w:val="24"/>
        </w:rPr>
        <w:t>El estudio del círculo cromático. Primarios, s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ecundarios, terciarios, matiz, tono, </w:t>
      </w:r>
      <w:proofErr w:type="spellStart"/>
      <w:proofErr w:type="gramStart"/>
      <w:r>
        <w:rPr>
          <w:rFonts w:ascii="Bookman Old Style" w:eastAsia="Bookman Old Style" w:hAnsi="Bookman Old Style" w:cs="Bookman Old Style"/>
          <w:sz w:val="24"/>
          <w:szCs w:val="24"/>
        </w:rPr>
        <w:t>saturación,complementarios</w:t>
      </w:r>
      <w:proofErr w:type="spellEnd"/>
      <w:proofErr w:type="gramEnd"/>
      <w:r>
        <w:rPr>
          <w:rFonts w:ascii="Bookman Old Style" w:eastAsia="Bookman Old Style" w:hAnsi="Bookman Old Style" w:cs="Bookman Old Style"/>
          <w:sz w:val="24"/>
          <w:szCs w:val="24"/>
        </w:rPr>
        <w:t>, análogos, cálidos, fríos, bicromía y policromía</w:t>
      </w:r>
    </w:p>
    <w:p w14:paraId="465E743B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Composición en la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bidimensión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>: Ley de balanza, ley de compensación de masas, simetría axial y simetría radial.</w:t>
      </w:r>
    </w:p>
    <w:p w14:paraId="309DCB3C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rFonts w:ascii="Bookman Old Style" w:eastAsia="Bookman Old Style" w:hAnsi="Bookman Old Style" w:cs="Bookman Old Style"/>
          <w:sz w:val="24"/>
          <w:szCs w:val="24"/>
        </w:rPr>
        <w:t>Indicadores espaciales en la a</w:t>
      </w:r>
      <w:r>
        <w:rPr>
          <w:rFonts w:ascii="Bookman Old Style" w:eastAsia="Bookman Old Style" w:hAnsi="Bookman Old Style" w:cs="Bookman Old Style"/>
          <w:sz w:val="24"/>
          <w:szCs w:val="24"/>
        </w:rPr>
        <w:t>bstracción. Producciones bidimensionales y tridimensionales.</w:t>
      </w:r>
    </w:p>
    <w:p w14:paraId="308A816F" w14:textId="77777777" w:rsidR="00700515" w:rsidRDefault="007005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</w:p>
    <w:p w14:paraId="4C94417C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Proyecto digital: Presentación de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powerpoints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para la justificación de los trabajos plásticos a partir de la teoría.</w:t>
      </w:r>
    </w:p>
    <w:p w14:paraId="6EA11ACB" w14:textId="77777777" w:rsidR="00700515" w:rsidRDefault="007005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</w:p>
    <w:p w14:paraId="358DDB67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  <w:t xml:space="preserve">UNIDAD </w:t>
      </w:r>
      <w:proofErr w:type="gramStart"/>
      <w:r>
        <w:rPr>
          <w:sz w:val="24"/>
          <w:szCs w:val="24"/>
        </w:rPr>
        <w:t>2:</w:t>
      </w:r>
      <w:r>
        <w:rPr>
          <w:rFonts w:ascii="Bookman Old Style" w:eastAsia="Bookman Old Style" w:hAnsi="Bookman Old Style" w:cs="Bookman Old Style"/>
          <w:b/>
          <w:sz w:val="24"/>
          <w:szCs w:val="24"/>
          <w:u w:val="single"/>
        </w:rPr>
        <w:t>Movimiento</w:t>
      </w:r>
      <w:proofErr w:type="gramEnd"/>
      <w:r>
        <w:rPr>
          <w:rFonts w:ascii="Bookman Old Style" w:eastAsia="Bookman Old Style" w:hAnsi="Bookman Old Style" w:cs="Bookman Old Style"/>
          <w:b/>
          <w:sz w:val="24"/>
          <w:szCs w:val="24"/>
          <w:u w:val="single"/>
        </w:rPr>
        <w:t xml:space="preserve"> aparente y real</w:t>
      </w:r>
    </w:p>
    <w:p w14:paraId="1E26C96C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La abstracción geométrica. </w:t>
      </w:r>
    </w:p>
    <w:p w14:paraId="510A0741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  <w:t>-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Op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art y arte cinético.</w:t>
      </w:r>
    </w:p>
    <w:p w14:paraId="08C52C59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sz w:val="24"/>
          <w:szCs w:val="24"/>
        </w:rPr>
        <w:t>-</w:t>
      </w:r>
      <w:r>
        <w:rPr>
          <w:rFonts w:ascii="Bookman Old Style" w:eastAsia="Bookman Old Style" w:hAnsi="Bookman Old Style" w:cs="Bookman Old Style"/>
          <w:sz w:val="24"/>
          <w:szCs w:val="24"/>
        </w:rPr>
        <w:t>El movimiento aparente y real.</w:t>
      </w:r>
    </w:p>
    <w:p w14:paraId="0F42FCBF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-La utilización del objeto cotidiano y la modificación de la materia.</w:t>
      </w:r>
    </w:p>
    <w:p w14:paraId="17E6D786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-Instalaciones. El espacio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recorrible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. </w:t>
      </w:r>
    </w:p>
    <w:p w14:paraId="0DE6E2A2" w14:textId="77777777" w:rsidR="00700515" w:rsidRDefault="007005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</w:p>
    <w:p w14:paraId="6D91281B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Proyecto digital: Uso de fotografía de instalaciones con celulares para la ejemplificación espacio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recorrible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74BC8A0B" w14:textId="77777777" w:rsidR="00700515" w:rsidRDefault="007005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</w:p>
    <w:p w14:paraId="0008BA1E" w14:textId="77777777" w:rsidR="00700515" w:rsidRDefault="007005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</w:p>
    <w:p w14:paraId="69D8B696" w14:textId="77777777" w:rsidR="00700515" w:rsidRDefault="007005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</w:p>
    <w:p w14:paraId="39E18058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BIBLIOGRAFÍA:</w:t>
      </w:r>
    </w:p>
    <w:p w14:paraId="1B058E02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  <w:r>
        <w:rPr>
          <w:sz w:val="22"/>
          <w:szCs w:val="22"/>
        </w:rPr>
        <w:t xml:space="preserve">ARGAN, Giulio Carlo, </w:t>
      </w:r>
      <w:r>
        <w:rPr>
          <w:i/>
          <w:sz w:val="22"/>
          <w:szCs w:val="22"/>
        </w:rPr>
        <w:t>El Arte Moderno</w:t>
      </w:r>
      <w:r>
        <w:rPr>
          <w:sz w:val="22"/>
          <w:szCs w:val="22"/>
        </w:rPr>
        <w:t>, Akal, Madrid, 1997.</w:t>
      </w:r>
    </w:p>
    <w:p w14:paraId="3F2594A1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  <w:r>
        <w:rPr>
          <w:sz w:val="22"/>
          <w:szCs w:val="22"/>
        </w:rPr>
        <w:t xml:space="preserve">GAGLIARDI, Ricardo, </w:t>
      </w:r>
      <w:r>
        <w:rPr>
          <w:i/>
          <w:sz w:val="22"/>
          <w:szCs w:val="22"/>
        </w:rPr>
        <w:t>Artes visuales I.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El lenguaje plástico-visual</w:t>
      </w:r>
      <w:r>
        <w:rPr>
          <w:sz w:val="22"/>
          <w:szCs w:val="22"/>
        </w:rPr>
        <w:t>, Bue</w:t>
      </w:r>
      <w:r>
        <w:rPr>
          <w:sz w:val="22"/>
          <w:szCs w:val="22"/>
        </w:rPr>
        <w:t>nos Aires, Ediciones Aula Taller, 2017.</w:t>
      </w:r>
    </w:p>
    <w:p w14:paraId="1FC3BD48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  <w:r>
        <w:rPr>
          <w:sz w:val="22"/>
          <w:szCs w:val="22"/>
        </w:rPr>
        <w:t xml:space="preserve">GIUNTA, Andrea, </w:t>
      </w:r>
      <w:r>
        <w:rPr>
          <w:i/>
          <w:sz w:val="22"/>
          <w:szCs w:val="22"/>
        </w:rPr>
        <w:t xml:space="preserve">Escribir las imágenes. Ensayos sobre arte argentino y latinoamericano. </w:t>
      </w:r>
      <w:r>
        <w:rPr>
          <w:sz w:val="22"/>
          <w:szCs w:val="22"/>
        </w:rPr>
        <w:t xml:space="preserve">Colección arte y pensamiento, Buenos Aires, Siglo veintiuno editores, 2011. </w:t>
      </w:r>
    </w:p>
    <w:p w14:paraId="33413000" w14:textId="77777777" w:rsidR="00700515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  <w:r>
        <w:rPr>
          <w:sz w:val="22"/>
          <w:szCs w:val="22"/>
        </w:rPr>
        <w:t xml:space="preserve">MARCHÁN FIZ, Simón, </w:t>
      </w:r>
      <w:r>
        <w:rPr>
          <w:i/>
          <w:sz w:val="22"/>
          <w:szCs w:val="22"/>
        </w:rPr>
        <w:t>Del arte objetual al arte de con</w:t>
      </w:r>
      <w:r>
        <w:rPr>
          <w:i/>
          <w:sz w:val="22"/>
          <w:szCs w:val="22"/>
        </w:rPr>
        <w:t>cepto</w:t>
      </w:r>
      <w:r>
        <w:rPr>
          <w:sz w:val="22"/>
          <w:szCs w:val="22"/>
        </w:rPr>
        <w:t>, Epílogo sobre la sensibilidad “postmoderna”, Akal, s/d.</w:t>
      </w:r>
    </w:p>
    <w:p w14:paraId="40D93015" w14:textId="7A9B4ADF" w:rsidR="00700515" w:rsidRPr="00070E2E" w:rsidRDefault="00070E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  <w:r>
        <w:rPr>
          <w:sz w:val="22"/>
          <w:szCs w:val="22"/>
        </w:rPr>
        <w:t xml:space="preserve">OLIVERAS, Elena (ed.), </w:t>
      </w:r>
      <w:r>
        <w:rPr>
          <w:i/>
          <w:sz w:val="22"/>
          <w:szCs w:val="22"/>
        </w:rPr>
        <w:t>Cuestiones de arte contemporáneo. Hacia un nuevo espectador en el siglo XXI,</w:t>
      </w:r>
      <w:r>
        <w:rPr>
          <w:sz w:val="22"/>
          <w:szCs w:val="22"/>
        </w:rPr>
        <w:t xml:space="preserve"> Buenos aires, Emecé arte, 2011. </w:t>
      </w:r>
      <w:bookmarkStart w:id="1" w:name="_GoBack"/>
      <w:bookmarkEnd w:id="1"/>
    </w:p>
    <w:p w14:paraId="6716734A" w14:textId="77777777" w:rsidR="00700515" w:rsidRDefault="007005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</w:p>
    <w:sectPr w:rsidR="00700515">
      <w:pgSz w:w="11907" w:h="16840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00515"/>
    <w:rsid w:val="00070E2E"/>
    <w:rsid w:val="00700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6DE695"/>
  <w15:docId w15:val="{55035F2E-19B2-446A-8D70-156B6CCF9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huertomosconi.edu.a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Equi Iglicki</cp:lastModifiedBy>
  <cp:revision>2</cp:revision>
  <dcterms:created xsi:type="dcterms:W3CDTF">2019-04-05T09:13:00Z</dcterms:created>
  <dcterms:modified xsi:type="dcterms:W3CDTF">2019-04-05T09:13:00Z</dcterms:modified>
</cp:coreProperties>
</file>