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42" w:rsidRPr="00DF0E37" w:rsidRDefault="00D04342" w:rsidP="00D04342">
      <w:pPr>
        <w:pStyle w:val="Textoindependiente"/>
        <w:pBdr>
          <w:top w:val="single" w:sz="4" w:space="1" w:color="auto"/>
          <w:left w:val="single" w:sz="4" w:space="4" w:color="auto"/>
          <w:bottom w:val="single" w:sz="4" w:space="1" w:color="auto"/>
          <w:right w:val="single" w:sz="4" w:space="4" w:color="auto"/>
        </w:pBdr>
        <w:tabs>
          <w:tab w:val="left" w:pos="9356"/>
        </w:tabs>
        <w:jc w:val="both"/>
        <w:rPr>
          <w:rFonts w:ascii="Arial" w:hAnsi="Arial" w:cs="Arial"/>
          <w:bCs/>
          <w:sz w:val="16"/>
          <w:szCs w:val="16"/>
        </w:rPr>
      </w:pPr>
      <w:r>
        <w:rPr>
          <w:noProof/>
          <w:lang w:val="es-AR" w:eastAsia="es-AR"/>
        </w:rPr>
        <w:drawing>
          <wp:anchor distT="0" distB="0" distL="114300" distR="114300" simplePos="0" relativeHeight="251660288" behindDoc="0" locked="0" layoutInCell="1" allowOverlap="1" wp14:anchorId="21874E40" wp14:editId="5ED1BE2C">
            <wp:simplePos x="0" y="0"/>
            <wp:positionH relativeFrom="column">
              <wp:posOffset>4921885</wp:posOffset>
            </wp:positionH>
            <wp:positionV relativeFrom="paragraph">
              <wp:posOffset>-360680</wp:posOffset>
            </wp:positionV>
            <wp:extent cx="1253490" cy="1259840"/>
            <wp:effectExtent l="0" t="0" r="3810" b="0"/>
            <wp:wrapNone/>
            <wp:docPr id="1" name="Imagen 1" descr="Descripción: logo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 s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3490"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sz w:val="16"/>
          <w:szCs w:val="16"/>
        </w:rPr>
        <w:t xml:space="preserve">                             I</w:t>
      </w:r>
      <w:r w:rsidRPr="00DF0E37">
        <w:rPr>
          <w:rFonts w:ascii="Arial" w:hAnsi="Arial" w:cs="Arial"/>
          <w:bCs/>
          <w:sz w:val="16"/>
          <w:szCs w:val="16"/>
        </w:rPr>
        <w:t>NSTITUTO “NUESTRA SEÑORA DEL HUERTO” (A-326)</w:t>
      </w:r>
    </w:p>
    <w:p w:rsidR="00D04342" w:rsidRPr="00DF0E37" w:rsidRDefault="00D04342" w:rsidP="00D04342">
      <w:pPr>
        <w:pStyle w:val="Textoindependiente"/>
        <w:pBdr>
          <w:top w:val="single" w:sz="4" w:space="1" w:color="auto"/>
          <w:left w:val="single" w:sz="4" w:space="4" w:color="auto"/>
          <w:bottom w:val="single" w:sz="4" w:space="1" w:color="auto"/>
          <w:right w:val="single" w:sz="4" w:space="4" w:color="auto"/>
        </w:pBdr>
        <w:tabs>
          <w:tab w:val="left" w:pos="9356"/>
        </w:tabs>
        <w:jc w:val="both"/>
        <w:rPr>
          <w:rFonts w:ascii="Arial" w:hAnsi="Arial" w:cs="Arial"/>
          <w:bCs/>
          <w:sz w:val="16"/>
          <w:szCs w:val="16"/>
        </w:rPr>
      </w:pPr>
      <w:r>
        <w:rPr>
          <w:rFonts w:ascii="Arial" w:hAnsi="Arial" w:cs="Arial"/>
          <w:bCs/>
          <w:sz w:val="16"/>
          <w:szCs w:val="16"/>
        </w:rPr>
        <w:t xml:space="preserve">                             </w:t>
      </w:r>
      <w:r w:rsidRPr="00DF0E37">
        <w:rPr>
          <w:rFonts w:ascii="Arial" w:hAnsi="Arial" w:cs="Arial"/>
          <w:bCs/>
          <w:sz w:val="16"/>
          <w:szCs w:val="16"/>
        </w:rPr>
        <w:t xml:space="preserve">Avda. Gral. </w:t>
      </w:r>
      <w:proofErr w:type="spellStart"/>
      <w:r w:rsidRPr="00DF0E37">
        <w:rPr>
          <w:rFonts w:ascii="Arial" w:hAnsi="Arial" w:cs="Arial"/>
          <w:bCs/>
          <w:sz w:val="16"/>
          <w:szCs w:val="16"/>
        </w:rPr>
        <w:t>Mosconi</w:t>
      </w:r>
      <w:proofErr w:type="spellEnd"/>
      <w:r w:rsidRPr="00DF0E37">
        <w:rPr>
          <w:rFonts w:ascii="Arial" w:hAnsi="Arial" w:cs="Arial"/>
          <w:bCs/>
          <w:sz w:val="16"/>
          <w:szCs w:val="16"/>
        </w:rPr>
        <w:t xml:space="preserve"> 3022     CABA: 1419</w:t>
      </w:r>
      <w:r>
        <w:rPr>
          <w:rFonts w:ascii="Arial" w:hAnsi="Arial" w:cs="Arial"/>
          <w:bCs/>
          <w:sz w:val="16"/>
          <w:szCs w:val="16"/>
        </w:rPr>
        <w:t xml:space="preserve">     </w:t>
      </w:r>
      <w:r w:rsidRPr="00DF0E37">
        <w:rPr>
          <w:rFonts w:ascii="Arial" w:hAnsi="Arial" w:cs="Arial"/>
          <w:bCs/>
          <w:sz w:val="16"/>
          <w:szCs w:val="16"/>
        </w:rPr>
        <w:t>Tel 4571-7584</w:t>
      </w:r>
      <w:r>
        <w:rPr>
          <w:rFonts w:ascii="Arial" w:hAnsi="Arial" w:cs="Arial"/>
          <w:bCs/>
          <w:sz w:val="16"/>
          <w:szCs w:val="16"/>
        </w:rPr>
        <w:t xml:space="preserve">   </w:t>
      </w:r>
    </w:p>
    <w:p w:rsidR="00D04342" w:rsidRPr="00DF0E37" w:rsidRDefault="00D04342" w:rsidP="00D04342">
      <w:pPr>
        <w:pBdr>
          <w:top w:val="single" w:sz="4" w:space="1" w:color="auto"/>
          <w:left w:val="single" w:sz="4" w:space="4" w:color="auto"/>
          <w:bottom w:val="single" w:sz="4" w:space="1" w:color="auto"/>
          <w:right w:val="single" w:sz="4" w:space="4" w:color="auto"/>
        </w:pBdr>
        <w:jc w:val="both"/>
        <w:rPr>
          <w:rFonts w:ascii="Arial" w:hAnsi="Arial" w:cs="Arial"/>
          <w:bCs/>
          <w:sz w:val="16"/>
          <w:szCs w:val="16"/>
        </w:rPr>
      </w:pPr>
      <w:r>
        <w:rPr>
          <w:rFonts w:ascii="Arial" w:hAnsi="Arial" w:cs="Arial"/>
          <w:bCs/>
          <w:sz w:val="16"/>
          <w:szCs w:val="16"/>
        </w:rPr>
        <w:t xml:space="preserve">                             </w:t>
      </w:r>
      <w:r w:rsidRPr="00DF0E37">
        <w:rPr>
          <w:rFonts w:ascii="Arial" w:hAnsi="Arial" w:cs="Arial"/>
          <w:bCs/>
          <w:sz w:val="16"/>
          <w:szCs w:val="16"/>
        </w:rPr>
        <w:t>Correo Electrónico: inshmos.medio@gmail.com</w:t>
      </w:r>
    </w:p>
    <w:p w:rsidR="00D04342" w:rsidRPr="00DF0E37" w:rsidRDefault="00D04342" w:rsidP="00D04342">
      <w:pPr>
        <w:pBdr>
          <w:top w:val="single" w:sz="4" w:space="1" w:color="auto"/>
          <w:left w:val="single" w:sz="4" w:space="4" w:color="auto"/>
          <w:bottom w:val="single" w:sz="4" w:space="1" w:color="auto"/>
          <w:right w:val="single" w:sz="4" w:space="4" w:color="auto"/>
        </w:pBdr>
        <w:jc w:val="both"/>
        <w:rPr>
          <w:rFonts w:ascii="Arial" w:hAnsi="Arial" w:cs="Arial"/>
          <w:bCs/>
          <w:sz w:val="16"/>
          <w:szCs w:val="16"/>
        </w:rPr>
      </w:pPr>
      <w:r>
        <w:rPr>
          <w:rFonts w:ascii="Arial" w:hAnsi="Arial" w:cs="Arial"/>
          <w:bCs/>
          <w:sz w:val="16"/>
          <w:szCs w:val="16"/>
        </w:rPr>
        <w:t xml:space="preserve">                             </w:t>
      </w:r>
      <w:r w:rsidRPr="00DF0E37">
        <w:rPr>
          <w:rFonts w:ascii="Arial" w:hAnsi="Arial" w:cs="Arial"/>
          <w:bCs/>
          <w:sz w:val="16"/>
          <w:szCs w:val="16"/>
        </w:rPr>
        <w:t xml:space="preserve">Página web: </w:t>
      </w:r>
      <w:hyperlink r:id="rId7" w:history="1">
        <w:r w:rsidRPr="00DF0E37">
          <w:rPr>
            <w:rStyle w:val="Hipervnculo"/>
            <w:rFonts w:ascii="Arial" w:hAnsi="Arial" w:cs="Arial"/>
            <w:bCs/>
            <w:sz w:val="16"/>
            <w:szCs w:val="16"/>
          </w:rPr>
          <w:t>www.huertomosconi.edu.ar</w:t>
        </w:r>
      </w:hyperlink>
    </w:p>
    <w:p w:rsidR="00D04342" w:rsidRDefault="00D04342" w:rsidP="00D04342">
      <w:pPr>
        <w:pBdr>
          <w:top w:val="single" w:sz="4" w:space="1" w:color="auto"/>
          <w:left w:val="single" w:sz="4" w:space="4" w:color="auto"/>
          <w:bottom w:val="single" w:sz="4" w:space="1" w:color="auto"/>
          <w:right w:val="single" w:sz="4" w:space="4" w:color="auto"/>
        </w:pBdr>
        <w:jc w:val="both"/>
        <w:rPr>
          <w:rFonts w:ascii="Arial Black" w:hAnsi="Arial Black"/>
          <w:bCs/>
          <w:sz w:val="22"/>
          <w:szCs w:val="22"/>
        </w:rPr>
      </w:pPr>
      <w:r>
        <w:rPr>
          <w:rFonts w:ascii="Arial Black" w:hAnsi="Arial Black"/>
          <w:bCs/>
          <w:sz w:val="18"/>
          <w:szCs w:val="18"/>
        </w:rPr>
        <w:t>___________________________________________________________________________________</w:t>
      </w:r>
    </w:p>
    <w:p w:rsidR="00D04342" w:rsidRDefault="00D04342" w:rsidP="00D04342">
      <w:pPr>
        <w:jc w:val="both"/>
        <w:rPr>
          <w:rFonts w:ascii="Arial" w:hAnsi="Arial" w:cs="Arial"/>
          <w:bCs/>
          <w:sz w:val="24"/>
          <w:szCs w:val="24"/>
        </w:rPr>
      </w:pPr>
      <w:r>
        <w:rPr>
          <w:rFonts w:ascii="Arial" w:hAnsi="Arial" w:cs="Arial"/>
          <w:bCs/>
          <w:sz w:val="24"/>
          <w:szCs w:val="22"/>
        </w:rPr>
        <w:t xml:space="preserve">             </w:t>
      </w:r>
      <w:r w:rsidRPr="00FD5BA0">
        <w:rPr>
          <w:rFonts w:ascii="Arial" w:hAnsi="Arial" w:cs="Arial"/>
          <w:bCs/>
          <w:sz w:val="24"/>
          <w:szCs w:val="24"/>
        </w:rPr>
        <w:t xml:space="preserve">                  </w:t>
      </w:r>
    </w:p>
    <w:p w:rsidR="00D04342" w:rsidRPr="00EA20CC" w:rsidRDefault="00D04342" w:rsidP="00D04342">
      <w:pPr>
        <w:jc w:val="both"/>
        <w:rPr>
          <w:b/>
          <w:sz w:val="28"/>
          <w:szCs w:val="28"/>
          <w:u w:val="single"/>
        </w:rPr>
      </w:pPr>
      <w:r>
        <w:rPr>
          <w:b/>
          <w:sz w:val="28"/>
          <w:szCs w:val="28"/>
          <w:u w:val="single"/>
        </w:rPr>
        <w:t>ESTRUCTURA CURRICULAR: CICLO ORIENTADO NES</w:t>
      </w:r>
    </w:p>
    <w:p w:rsidR="00D04342" w:rsidRDefault="00D04342" w:rsidP="00D04342">
      <w:r w:rsidRPr="00F067F6">
        <w:rPr>
          <w:b/>
          <w:sz w:val="24"/>
          <w:szCs w:val="24"/>
          <w:u w:val="single"/>
        </w:rPr>
        <w:t>MATERIA:</w:t>
      </w:r>
      <w:r>
        <w:rPr>
          <w:b/>
          <w:sz w:val="24"/>
          <w:szCs w:val="24"/>
          <w:u w:val="single"/>
        </w:rPr>
        <w:t xml:space="preserve"> MATEMÁTICA</w:t>
      </w:r>
      <w:r w:rsidRPr="00F45C45">
        <w:rPr>
          <w:b/>
          <w:sz w:val="24"/>
          <w:szCs w:val="24"/>
        </w:rPr>
        <w:t xml:space="preserve">               </w:t>
      </w:r>
      <w:r w:rsidRPr="00F067F6">
        <w:rPr>
          <w:b/>
          <w:sz w:val="24"/>
          <w:szCs w:val="24"/>
          <w:u w:val="single"/>
        </w:rPr>
        <w:t>CURSO</w:t>
      </w:r>
      <w:proofErr w:type="gramStart"/>
      <w:r w:rsidRPr="00F067F6">
        <w:rPr>
          <w:b/>
          <w:sz w:val="24"/>
          <w:szCs w:val="24"/>
          <w:u w:val="single"/>
        </w:rPr>
        <w:t>:</w:t>
      </w:r>
      <w:r>
        <w:rPr>
          <w:b/>
          <w:sz w:val="24"/>
          <w:szCs w:val="24"/>
          <w:u w:val="single"/>
        </w:rPr>
        <w:t xml:space="preserve">  segundo</w:t>
      </w:r>
      <w:proofErr w:type="gramEnd"/>
      <w:r>
        <w:rPr>
          <w:b/>
          <w:sz w:val="24"/>
          <w:szCs w:val="24"/>
          <w:u w:val="single"/>
        </w:rPr>
        <w:t xml:space="preserve"> año </w:t>
      </w:r>
      <w:r w:rsidRPr="00B71D35">
        <w:rPr>
          <w:b/>
          <w:sz w:val="24"/>
          <w:szCs w:val="24"/>
        </w:rPr>
        <w:t xml:space="preserve">     </w:t>
      </w:r>
      <w:r>
        <w:rPr>
          <w:b/>
          <w:sz w:val="24"/>
          <w:szCs w:val="24"/>
        </w:rPr>
        <w:t xml:space="preserve">                           </w:t>
      </w:r>
      <w:r>
        <w:rPr>
          <w:b/>
          <w:sz w:val="24"/>
          <w:szCs w:val="24"/>
          <w:u w:val="single"/>
        </w:rPr>
        <w:t>2019</w:t>
      </w:r>
    </w:p>
    <w:p w:rsidR="00D04342" w:rsidRDefault="00D04342" w:rsidP="00D04342">
      <w:pPr>
        <w:rPr>
          <w:b/>
          <w:sz w:val="24"/>
          <w:szCs w:val="24"/>
          <w:u w:val="single"/>
        </w:rPr>
      </w:pPr>
    </w:p>
    <w:p w:rsidR="00D04342" w:rsidRPr="00F067F6" w:rsidRDefault="00D04342" w:rsidP="00D04342">
      <w:pPr>
        <w:rPr>
          <w:b/>
          <w:sz w:val="24"/>
          <w:szCs w:val="24"/>
          <w:u w:val="single"/>
        </w:rPr>
      </w:pPr>
      <w:r>
        <w:rPr>
          <w:b/>
          <w:sz w:val="24"/>
          <w:szCs w:val="24"/>
          <w:u w:val="single"/>
        </w:rPr>
        <w:t>OBJETIVOS</w:t>
      </w:r>
      <w:r w:rsidRPr="00F067F6">
        <w:rPr>
          <w:b/>
          <w:sz w:val="24"/>
          <w:szCs w:val="24"/>
          <w:u w:val="single"/>
        </w:rPr>
        <w:t xml:space="preserve"> DE LA MATERIA:</w:t>
      </w:r>
    </w:p>
    <w:p w:rsidR="00D04342" w:rsidRPr="008D7226" w:rsidRDefault="00D04342" w:rsidP="00D04342">
      <w:pPr>
        <w:autoSpaceDE w:val="0"/>
        <w:autoSpaceDN w:val="0"/>
        <w:adjustRightInd w:val="0"/>
        <w:rPr>
          <w:color w:val="000000"/>
          <w:lang w:eastAsia="es-ES_tradnl"/>
        </w:rPr>
      </w:pPr>
      <w:r w:rsidRPr="008D7226">
        <w:rPr>
          <w:color w:val="000000"/>
          <w:lang w:eastAsia="es-ES_tradnl"/>
        </w:rPr>
        <w:t>Al finalizar segundo año, los estudiantes serán capaces  de:</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Disponer de formas de representación y de estrategias   exhaustivas de conteo para abordar y validar  problemas de combinatoria.</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Utilizar recursos algebraicos que permitan producir, formular y validar conjeturas referidas a la divisibilidad en el campo de los números enteros.</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 xml:space="preserve">Recurrir a relaciones entre escritura decimal y fraccionaria para resolver problemas que involucren la densidad en el campo de los números racionales. </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 xml:space="preserve">Resolver problemas lineales que se </w:t>
      </w:r>
      <w:proofErr w:type="spellStart"/>
      <w:r w:rsidRPr="008D7226">
        <w:rPr>
          <w:color w:val="000000"/>
          <w:lang w:eastAsia="es-ES_tradnl"/>
        </w:rPr>
        <w:t>modelizan</w:t>
      </w:r>
      <w:proofErr w:type="spellEnd"/>
      <w:r w:rsidRPr="008D7226">
        <w:rPr>
          <w:color w:val="000000"/>
          <w:lang w:eastAsia="es-ES_tradnl"/>
        </w:rPr>
        <w:t xml:space="preserve"> usando funciones, ecuaciones, inecuaciones,  apelando al recurso de verificar si cierto número o par de números, es solución o no de la ecuación.</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Establecer relaciones entre resolución gráfica y algebraica.</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 xml:space="preserve">Resolver problemas que se </w:t>
      </w:r>
      <w:proofErr w:type="spellStart"/>
      <w:r w:rsidRPr="008D7226">
        <w:rPr>
          <w:color w:val="000000"/>
          <w:lang w:eastAsia="es-ES_tradnl"/>
        </w:rPr>
        <w:t>modelizan</w:t>
      </w:r>
      <w:proofErr w:type="spellEnd"/>
      <w:r w:rsidRPr="008D7226">
        <w:rPr>
          <w:color w:val="000000"/>
          <w:lang w:eastAsia="es-ES_tradnl"/>
        </w:rPr>
        <w:t xml:space="preserve"> mediante los recursos que provee la proporcionalidad. </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Recurrir a las expresiones algebraicas para analizar las variaciones del área de una figura en función de  la variación de alguno de sus elementos.</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Apelar al Teorema de Tales para resolver diferentes tipos de problemas.</w:t>
      </w:r>
    </w:p>
    <w:p w:rsidR="00D04342" w:rsidRPr="008D7226" w:rsidRDefault="00D04342" w:rsidP="00D04342">
      <w:pPr>
        <w:numPr>
          <w:ilvl w:val="0"/>
          <w:numId w:val="1"/>
        </w:numPr>
        <w:autoSpaceDE w:val="0"/>
        <w:autoSpaceDN w:val="0"/>
        <w:adjustRightInd w:val="0"/>
        <w:rPr>
          <w:color w:val="000000"/>
          <w:lang w:eastAsia="es-ES_tradnl"/>
        </w:rPr>
      </w:pPr>
      <w:r w:rsidRPr="008D7226">
        <w:rPr>
          <w:color w:val="000000"/>
          <w:lang w:eastAsia="es-ES_tradnl"/>
        </w:rPr>
        <w:t>Comprender que la elección de un modo de organizar y representar la información pone de relieve ciertos aspectos y oculta otros.</w:t>
      </w:r>
    </w:p>
    <w:p w:rsidR="00D04342" w:rsidRPr="000E6D7A" w:rsidRDefault="00D04342" w:rsidP="00D04342">
      <w:pPr>
        <w:numPr>
          <w:ilvl w:val="0"/>
          <w:numId w:val="1"/>
        </w:numPr>
        <w:autoSpaceDE w:val="0"/>
        <w:autoSpaceDN w:val="0"/>
        <w:adjustRightInd w:val="0"/>
        <w:rPr>
          <w:color w:val="000000"/>
          <w:sz w:val="22"/>
          <w:szCs w:val="22"/>
          <w:lang w:eastAsia="es-ES_tradnl"/>
        </w:rPr>
      </w:pPr>
      <w:r w:rsidRPr="008D7226">
        <w:rPr>
          <w:color w:val="000000"/>
          <w:lang w:eastAsia="es-ES_tradnl"/>
        </w:rPr>
        <w:t>Reconocer la pertinencia o no de utilizar las medidas de tendencia central, como representantes de una muestra, en función del problema a resolver</w:t>
      </w:r>
      <w:r w:rsidRPr="000E6D7A">
        <w:rPr>
          <w:color w:val="000000"/>
          <w:sz w:val="22"/>
          <w:szCs w:val="22"/>
          <w:lang w:eastAsia="es-ES_tradnl"/>
        </w:rPr>
        <w:t>.</w:t>
      </w:r>
    </w:p>
    <w:p w:rsidR="00D04342" w:rsidRPr="00624259" w:rsidRDefault="00D04342" w:rsidP="00D04342">
      <w:pPr>
        <w:autoSpaceDE w:val="0"/>
        <w:autoSpaceDN w:val="0"/>
        <w:adjustRightInd w:val="0"/>
        <w:ind w:left="720"/>
        <w:rPr>
          <w:color w:val="000000"/>
          <w:sz w:val="22"/>
          <w:szCs w:val="22"/>
          <w:lang w:eastAsia="es-ES_tradnl"/>
        </w:rPr>
      </w:pPr>
    </w:p>
    <w:p w:rsidR="00D04342" w:rsidRPr="00975A1B" w:rsidRDefault="00D04342" w:rsidP="00D04342">
      <w:pPr>
        <w:autoSpaceDE w:val="0"/>
        <w:autoSpaceDN w:val="0"/>
        <w:adjustRightInd w:val="0"/>
        <w:rPr>
          <w:b/>
          <w:bCs/>
          <w:sz w:val="22"/>
          <w:szCs w:val="22"/>
          <w:lang w:eastAsia="es-ES_tradnl"/>
        </w:rPr>
      </w:pPr>
      <w:r w:rsidRPr="00975A1B">
        <w:rPr>
          <w:b/>
          <w:bCs/>
          <w:sz w:val="22"/>
          <w:szCs w:val="22"/>
          <w:lang w:eastAsia="es-ES_tradnl"/>
        </w:rPr>
        <w:t>Unidad 1: Números Naturales. Combinatoria</w:t>
      </w:r>
    </w:p>
    <w:p w:rsidR="00D04342" w:rsidRPr="00975A1B" w:rsidRDefault="00D04342" w:rsidP="00D04342">
      <w:pPr>
        <w:autoSpaceDE w:val="0"/>
        <w:autoSpaceDN w:val="0"/>
        <w:adjustRightInd w:val="0"/>
        <w:jc w:val="both"/>
        <w:rPr>
          <w:rFonts w:eastAsia="UniversLTStd-Light"/>
          <w:sz w:val="22"/>
          <w:szCs w:val="22"/>
          <w:lang w:eastAsia="es-ES_tradnl"/>
        </w:rPr>
      </w:pPr>
      <w:r w:rsidRPr="00975A1B">
        <w:rPr>
          <w:rFonts w:eastAsia="UniversLTStd-Light"/>
          <w:sz w:val="22"/>
          <w:szCs w:val="22"/>
          <w:lang w:eastAsia="es-ES_tradnl"/>
        </w:rPr>
        <w:t xml:space="preserve">Característica y propiedades. Operaciones básicas y ecuaciones en N. Factorial de un número. Producción de </w:t>
      </w:r>
      <w:r w:rsidRPr="00975A1B">
        <w:rPr>
          <w:rFonts w:eastAsia="UniversLTStd-Light"/>
          <w:sz w:val="22"/>
          <w:szCs w:val="22"/>
          <w:lang w:eastAsia="es-ES_tradnl"/>
        </w:rPr>
        <w:t>fórmulas</w:t>
      </w:r>
      <w:r w:rsidRPr="00975A1B">
        <w:rPr>
          <w:rFonts w:eastAsia="UniversLTStd-Light"/>
          <w:sz w:val="22"/>
          <w:szCs w:val="22"/>
          <w:lang w:eastAsia="es-ES_tradnl"/>
        </w:rPr>
        <w:t xml:space="preserve"> para contar. El  diagrama de árbol como recurso para contar de manera exhaustiva. </w:t>
      </w:r>
    </w:p>
    <w:p w:rsidR="00D04342" w:rsidRPr="00975A1B" w:rsidRDefault="00D04342" w:rsidP="00D04342">
      <w:pPr>
        <w:autoSpaceDE w:val="0"/>
        <w:autoSpaceDN w:val="0"/>
        <w:adjustRightInd w:val="0"/>
        <w:jc w:val="both"/>
        <w:rPr>
          <w:rFonts w:eastAsia="UniversLTStd-Light"/>
          <w:sz w:val="22"/>
          <w:szCs w:val="22"/>
          <w:lang w:eastAsia="es-ES_tradnl"/>
        </w:rPr>
      </w:pPr>
    </w:p>
    <w:p w:rsidR="00D04342" w:rsidRPr="00975A1B" w:rsidRDefault="00D04342" w:rsidP="00D04342">
      <w:pPr>
        <w:autoSpaceDE w:val="0"/>
        <w:autoSpaceDN w:val="0"/>
        <w:adjustRightInd w:val="0"/>
        <w:rPr>
          <w:b/>
          <w:bCs/>
          <w:sz w:val="22"/>
          <w:szCs w:val="22"/>
          <w:lang w:eastAsia="es-ES_tradnl"/>
        </w:rPr>
      </w:pPr>
      <w:r w:rsidRPr="00975A1B">
        <w:rPr>
          <w:b/>
          <w:bCs/>
          <w:sz w:val="22"/>
          <w:szCs w:val="22"/>
          <w:lang w:eastAsia="es-ES_tradnl"/>
        </w:rPr>
        <w:t>Unidad 2: Números Enteros</w:t>
      </w:r>
    </w:p>
    <w:p w:rsidR="00D04342" w:rsidRPr="00975A1B" w:rsidRDefault="00D04342" w:rsidP="00D04342">
      <w:pPr>
        <w:autoSpaceDE w:val="0"/>
        <w:autoSpaceDN w:val="0"/>
        <w:adjustRightInd w:val="0"/>
        <w:jc w:val="both"/>
        <w:rPr>
          <w:rFonts w:eastAsia="UniversLTStd-Light"/>
          <w:sz w:val="22"/>
          <w:szCs w:val="22"/>
          <w:lang w:eastAsia="es-ES_tradnl"/>
        </w:rPr>
      </w:pPr>
      <w:r w:rsidRPr="00975A1B">
        <w:rPr>
          <w:rFonts w:eastAsia="UniversLTStd-Light"/>
          <w:sz w:val="22"/>
          <w:szCs w:val="22"/>
          <w:lang w:eastAsia="es-ES_tradnl"/>
        </w:rPr>
        <w:t xml:space="preserve">Nociones generales. Operaciones básicas. Divisibilidad, criterios. Las nociones de múltiplo y divisor. Análisis de la estructura de un cálculo para decidir cuestiones de divisibilidad. Definición y característica de  números primos. Múltiplos y divisores en Z. </w:t>
      </w:r>
      <w:proofErr w:type="spellStart"/>
      <w:r w:rsidRPr="00975A1B">
        <w:rPr>
          <w:rFonts w:eastAsia="UniversLTStd-Light"/>
          <w:sz w:val="22"/>
          <w:szCs w:val="22"/>
          <w:lang w:eastAsia="es-ES_tradnl"/>
        </w:rPr>
        <w:t>Mcm</w:t>
      </w:r>
      <w:proofErr w:type="spellEnd"/>
      <w:r w:rsidRPr="00975A1B">
        <w:rPr>
          <w:rFonts w:eastAsia="UniversLTStd-Light"/>
          <w:sz w:val="22"/>
          <w:szCs w:val="22"/>
          <w:lang w:eastAsia="es-ES_tradnl"/>
        </w:rPr>
        <w:t xml:space="preserve"> y </w:t>
      </w:r>
      <w:proofErr w:type="spellStart"/>
      <w:r w:rsidRPr="00975A1B">
        <w:rPr>
          <w:rFonts w:eastAsia="UniversLTStd-Light"/>
          <w:sz w:val="22"/>
          <w:szCs w:val="22"/>
          <w:lang w:eastAsia="es-ES_tradnl"/>
        </w:rPr>
        <w:t>Mcd</w:t>
      </w:r>
      <w:proofErr w:type="spellEnd"/>
      <w:r w:rsidRPr="00975A1B">
        <w:rPr>
          <w:rFonts w:eastAsia="UniversLTStd-Light"/>
          <w:sz w:val="22"/>
          <w:szCs w:val="22"/>
          <w:lang w:eastAsia="es-ES_tradnl"/>
        </w:rPr>
        <w:t xml:space="preserve">.  </w:t>
      </w:r>
    </w:p>
    <w:p w:rsidR="00D04342" w:rsidRPr="00975A1B" w:rsidRDefault="00D04342" w:rsidP="00D04342">
      <w:pPr>
        <w:autoSpaceDE w:val="0"/>
        <w:autoSpaceDN w:val="0"/>
        <w:adjustRightInd w:val="0"/>
        <w:rPr>
          <w:rFonts w:eastAsia="UniversLTStd-Light"/>
          <w:sz w:val="22"/>
          <w:szCs w:val="22"/>
          <w:lang w:eastAsia="es-ES_tradnl"/>
        </w:rPr>
      </w:pPr>
    </w:p>
    <w:p w:rsidR="00D04342" w:rsidRPr="00975A1B" w:rsidRDefault="00D04342" w:rsidP="00D04342">
      <w:pPr>
        <w:autoSpaceDE w:val="0"/>
        <w:autoSpaceDN w:val="0"/>
        <w:adjustRightInd w:val="0"/>
        <w:rPr>
          <w:b/>
          <w:bCs/>
          <w:sz w:val="22"/>
          <w:szCs w:val="22"/>
          <w:lang w:eastAsia="es-ES_tradnl"/>
        </w:rPr>
      </w:pPr>
      <w:r w:rsidRPr="00975A1B">
        <w:rPr>
          <w:b/>
          <w:bCs/>
          <w:sz w:val="22"/>
          <w:szCs w:val="22"/>
          <w:lang w:eastAsia="es-ES_tradnl"/>
        </w:rPr>
        <w:t>Unidad 3: Números Racionales</w:t>
      </w:r>
    </w:p>
    <w:p w:rsidR="00D04342" w:rsidRPr="00975A1B" w:rsidRDefault="00D04342" w:rsidP="00D04342">
      <w:pPr>
        <w:jc w:val="both"/>
        <w:rPr>
          <w:rFonts w:eastAsia="UniversLTStd-Light"/>
          <w:sz w:val="22"/>
          <w:szCs w:val="22"/>
          <w:lang w:eastAsia="es-ES_tradnl"/>
        </w:rPr>
      </w:pPr>
      <w:r w:rsidRPr="00975A1B">
        <w:rPr>
          <w:sz w:val="22"/>
          <w:szCs w:val="22"/>
        </w:rPr>
        <w:t xml:space="preserve">Ordenación de los números racionales y representación sobre la recta. Desarrollo decimal de un número racional. Conversión de un desarrollo periódico en fracción. Potencias de exponente Z. Operaciones combinadas en Q. fracciones y expresiones decimales. Fracciones y números decimales. Fracciones equivalentes. Orden en el conjunto Q. Comparación de fracciones. Pasaje de expresiones decimales a fracción. Expresiones decimales exactas y periódicas. Operaciones con números decimales: Adición, sustracción, multiplicación y división. Operaciones con números racionales: Adición, sustracción, multiplicación y división. Potenciación de números racionales. Propiedades de la potenciación. Radicación de números racionales. Operaciones combinadas. Ecuaciones e inecuaciones con números racionales.  </w:t>
      </w:r>
      <w:r w:rsidRPr="00975A1B">
        <w:rPr>
          <w:rFonts w:eastAsia="UniversLTStd-Light"/>
          <w:sz w:val="22"/>
          <w:szCs w:val="22"/>
          <w:lang w:eastAsia="es-ES_tradnl"/>
        </w:rPr>
        <w:t xml:space="preserve">La propiedad de densidad. Aproximación de números racionales por números decimales. Estimación de resultados de problemas que involucran racionales. Producción de diferentes recursos de cálculo.  Estimación del error producido por el redondeo o el truncamiento. Uso de calculadora. Regularidades en colecciones de números racionales. </w:t>
      </w:r>
      <w:r w:rsidRPr="00975A1B">
        <w:rPr>
          <w:rFonts w:eastAsia="UniversLTStd-Light"/>
          <w:sz w:val="22"/>
          <w:szCs w:val="22"/>
          <w:lang w:eastAsia="es-ES_tradnl"/>
        </w:rPr>
        <w:t>Fórmulas</w:t>
      </w:r>
      <w:r w:rsidRPr="00975A1B">
        <w:rPr>
          <w:rFonts w:eastAsia="UniversLTStd-Light"/>
          <w:sz w:val="22"/>
          <w:szCs w:val="22"/>
          <w:lang w:eastAsia="es-ES_tradnl"/>
        </w:rPr>
        <w:t xml:space="preserve"> para </w:t>
      </w:r>
      <w:proofErr w:type="spellStart"/>
      <w:r w:rsidRPr="00975A1B">
        <w:rPr>
          <w:rFonts w:eastAsia="UniversLTStd-Light"/>
          <w:sz w:val="22"/>
          <w:szCs w:val="22"/>
          <w:lang w:eastAsia="es-ES_tradnl"/>
        </w:rPr>
        <w:t>modelizarlas</w:t>
      </w:r>
      <w:proofErr w:type="spellEnd"/>
      <w:r w:rsidRPr="00975A1B">
        <w:rPr>
          <w:rFonts w:eastAsia="UniversLTStd-Light"/>
          <w:sz w:val="22"/>
          <w:szCs w:val="22"/>
          <w:lang w:eastAsia="es-ES_tradnl"/>
        </w:rPr>
        <w:t xml:space="preserve">. Potenciación y radicación en Q. Notación científica de números decimales. </w:t>
      </w:r>
    </w:p>
    <w:p w:rsidR="00D04342" w:rsidRDefault="00D04342" w:rsidP="00D04342">
      <w:pPr>
        <w:autoSpaceDE w:val="0"/>
        <w:autoSpaceDN w:val="0"/>
        <w:adjustRightInd w:val="0"/>
        <w:rPr>
          <w:b/>
          <w:sz w:val="22"/>
          <w:szCs w:val="22"/>
        </w:rPr>
      </w:pPr>
    </w:p>
    <w:p w:rsidR="00D04342" w:rsidRDefault="00D04342" w:rsidP="00D04342">
      <w:pPr>
        <w:autoSpaceDE w:val="0"/>
        <w:autoSpaceDN w:val="0"/>
        <w:adjustRightInd w:val="0"/>
        <w:rPr>
          <w:b/>
          <w:sz w:val="22"/>
          <w:szCs w:val="22"/>
        </w:rPr>
      </w:pPr>
    </w:p>
    <w:p w:rsidR="00D04342" w:rsidRDefault="00D04342" w:rsidP="00D04342">
      <w:pPr>
        <w:autoSpaceDE w:val="0"/>
        <w:autoSpaceDN w:val="0"/>
        <w:adjustRightInd w:val="0"/>
        <w:rPr>
          <w:b/>
          <w:sz w:val="22"/>
          <w:szCs w:val="22"/>
        </w:rPr>
      </w:pPr>
    </w:p>
    <w:p w:rsidR="00D04342" w:rsidRDefault="00D04342" w:rsidP="00D04342">
      <w:pPr>
        <w:autoSpaceDE w:val="0"/>
        <w:autoSpaceDN w:val="0"/>
        <w:adjustRightInd w:val="0"/>
        <w:rPr>
          <w:b/>
          <w:sz w:val="22"/>
          <w:szCs w:val="22"/>
        </w:rPr>
      </w:pPr>
    </w:p>
    <w:p w:rsidR="00D04342" w:rsidRDefault="00D04342" w:rsidP="00D04342">
      <w:pPr>
        <w:autoSpaceDE w:val="0"/>
        <w:autoSpaceDN w:val="0"/>
        <w:adjustRightInd w:val="0"/>
        <w:rPr>
          <w:b/>
          <w:sz w:val="22"/>
          <w:szCs w:val="22"/>
        </w:rPr>
      </w:pPr>
      <w:bookmarkStart w:id="0" w:name="_GoBack"/>
      <w:bookmarkEnd w:id="0"/>
    </w:p>
    <w:p w:rsidR="00D04342" w:rsidRDefault="00D04342" w:rsidP="00D04342">
      <w:pPr>
        <w:autoSpaceDE w:val="0"/>
        <w:autoSpaceDN w:val="0"/>
        <w:adjustRightInd w:val="0"/>
        <w:rPr>
          <w:b/>
          <w:sz w:val="22"/>
          <w:szCs w:val="22"/>
        </w:rPr>
      </w:pPr>
    </w:p>
    <w:p w:rsidR="00D04342" w:rsidRPr="00975A1B" w:rsidRDefault="00D04342" w:rsidP="00D04342">
      <w:pPr>
        <w:autoSpaceDE w:val="0"/>
        <w:autoSpaceDN w:val="0"/>
        <w:adjustRightInd w:val="0"/>
        <w:rPr>
          <w:b/>
          <w:sz w:val="22"/>
          <w:szCs w:val="22"/>
        </w:rPr>
      </w:pPr>
      <w:r w:rsidRPr="00975A1B">
        <w:rPr>
          <w:b/>
          <w:sz w:val="22"/>
          <w:szCs w:val="22"/>
        </w:rPr>
        <w:lastRenderedPageBreak/>
        <w:t>Unidad 4: Función lineal</w:t>
      </w:r>
    </w:p>
    <w:p w:rsidR="00D04342" w:rsidRDefault="00D04342" w:rsidP="00D04342">
      <w:pPr>
        <w:autoSpaceDE w:val="0"/>
        <w:autoSpaceDN w:val="0"/>
        <w:adjustRightInd w:val="0"/>
        <w:jc w:val="both"/>
        <w:rPr>
          <w:sz w:val="22"/>
          <w:szCs w:val="22"/>
        </w:rPr>
      </w:pPr>
      <w:r w:rsidRPr="00624259">
        <w:rPr>
          <w:b/>
          <w:sz w:val="22"/>
          <w:szCs w:val="22"/>
          <w:u w:val="single"/>
        </w:rPr>
        <w:t>Función lineal</w:t>
      </w:r>
      <w:r w:rsidRPr="00624259">
        <w:rPr>
          <w:sz w:val="22"/>
          <w:szCs w:val="22"/>
        </w:rPr>
        <w:t xml:space="preserve">: Característica generales. </w:t>
      </w:r>
      <w:proofErr w:type="spellStart"/>
      <w:r w:rsidRPr="00624259">
        <w:rPr>
          <w:sz w:val="22"/>
          <w:szCs w:val="22"/>
        </w:rPr>
        <w:t>Grafica</w:t>
      </w:r>
      <w:proofErr w:type="spellEnd"/>
      <w:r w:rsidRPr="00624259">
        <w:rPr>
          <w:sz w:val="22"/>
          <w:szCs w:val="22"/>
        </w:rPr>
        <w:t xml:space="preserve">, distintos métodos. Identificación de puntos que pertenecen al gráfico de la función. Situaciones problemáticas asociadas a  una variable. </w:t>
      </w:r>
    </w:p>
    <w:p w:rsidR="00D04342" w:rsidRPr="00624259" w:rsidRDefault="00D04342" w:rsidP="00D04342">
      <w:pPr>
        <w:autoSpaceDE w:val="0"/>
        <w:autoSpaceDN w:val="0"/>
        <w:adjustRightInd w:val="0"/>
        <w:jc w:val="both"/>
        <w:rPr>
          <w:sz w:val="22"/>
          <w:szCs w:val="22"/>
        </w:rPr>
      </w:pPr>
      <w:r w:rsidRPr="00624259">
        <w:rPr>
          <w:b/>
          <w:sz w:val="22"/>
          <w:szCs w:val="22"/>
          <w:u w:val="single"/>
        </w:rPr>
        <w:t>Ecuación de la recta:</w:t>
      </w:r>
      <w:r w:rsidRPr="00624259">
        <w:rPr>
          <w:sz w:val="22"/>
          <w:szCs w:val="22"/>
        </w:rPr>
        <w:t xml:space="preserve"> Pendiente. Rectas paralelas y perpendiculares. Producción de la representación gráfica y de la ecuación de una recta a partir de ciertos datos: dos puntos cualesquiera, un punto y la pendiente, los puntos donde corta a los ejes. Problemas que se </w:t>
      </w:r>
      <w:proofErr w:type="spellStart"/>
      <w:r w:rsidRPr="00624259">
        <w:rPr>
          <w:sz w:val="22"/>
          <w:szCs w:val="22"/>
        </w:rPr>
        <w:t>modelizan</w:t>
      </w:r>
      <w:proofErr w:type="spellEnd"/>
      <w:r w:rsidRPr="00624259">
        <w:rPr>
          <w:sz w:val="22"/>
          <w:szCs w:val="22"/>
        </w:rPr>
        <w:t xml:space="preserve"> con ecuaciones lineales con una incógnita. Ecuación lineal a una variable. Ecuaciones y conjunto solución. Problemas con infinitas soluciones y problemas sin solución. Resolución de ecuaciones que involucren transformaciones algebraicas. Inecuaciones de primer grado con una incógnita.  Representación en la recta numérica de las soluciones de una inecuación lineal con una incógnita</w:t>
      </w:r>
    </w:p>
    <w:p w:rsidR="00D04342" w:rsidRDefault="00D04342" w:rsidP="00D04342">
      <w:pPr>
        <w:autoSpaceDE w:val="0"/>
        <w:autoSpaceDN w:val="0"/>
        <w:adjustRightInd w:val="0"/>
      </w:pPr>
    </w:p>
    <w:p w:rsidR="00D04342" w:rsidRPr="00624259" w:rsidRDefault="00D04342" w:rsidP="00D04342">
      <w:pPr>
        <w:autoSpaceDE w:val="0"/>
        <w:autoSpaceDN w:val="0"/>
        <w:adjustRightInd w:val="0"/>
        <w:rPr>
          <w:sz w:val="22"/>
          <w:szCs w:val="22"/>
        </w:rPr>
      </w:pPr>
      <w:r w:rsidRPr="00624259">
        <w:rPr>
          <w:b/>
          <w:sz w:val="22"/>
          <w:szCs w:val="22"/>
          <w:u w:val="single"/>
        </w:rPr>
        <w:t xml:space="preserve">Unidad 5: </w:t>
      </w:r>
      <w:r w:rsidRPr="00624259">
        <w:rPr>
          <w:b/>
          <w:bCs/>
          <w:sz w:val="22"/>
          <w:szCs w:val="22"/>
        </w:rPr>
        <w:t>Magnitudes  Proporcionales</w:t>
      </w:r>
      <w:r w:rsidRPr="00624259">
        <w:rPr>
          <w:sz w:val="22"/>
          <w:szCs w:val="22"/>
        </w:rPr>
        <w:t xml:space="preserve">. </w:t>
      </w:r>
    </w:p>
    <w:p w:rsidR="00D04342" w:rsidRPr="00624259" w:rsidRDefault="00D04342" w:rsidP="00D04342">
      <w:pPr>
        <w:autoSpaceDE w:val="0"/>
        <w:autoSpaceDN w:val="0"/>
        <w:adjustRightInd w:val="0"/>
        <w:jc w:val="both"/>
        <w:rPr>
          <w:sz w:val="22"/>
          <w:szCs w:val="22"/>
        </w:rPr>
      </w:pPr>
      <w:r w:rsidRPr="00624259">
        <w:rPr>
          <w:sz w:val="22"/>
          <w:szCs w:val="22"/>
        </w:rPr>
        <w:t>Magnitudes directa e inversamente proporcionales. Cálculo de la constante de proporcionalidad. Representación de magnitudes en los ejes cartesianos. Aplicación a problemas</w:t>
      </w:r>
      <w:r>
        <w:rPr>
          <w:sz w:val="22"/>
          <w:szCs w:val="22"/>
        </w:rPr>
        <w:t xml:space="preserve">.  </w:t>
      </w:r>
      <w:r w:rsidRPr="00624259">
        <w:rPr>
          <w:b/>
          <w:sz w:val="22"/>
          <w:szCs w:val="22"/>
        </w:rPr>
        <w:t>Razones y proporciones.</w:t>
      </w:r>
      <w:r>
        <w:rPr>
          <w:b/>
          <w:sz w:val="22"/>
          <w:szCs w:val="22"/>
        </w:rPr>
        <w:t xml:space="preserve"> </w:t>
      </w:r>
      <w:r w:rsidRPr="00624259">
        <w:rPr>
          <w:sz w:val="22"/>
          <w:szCs w:val="22"/>
        </w:rPr>
        <w:t>Concepto de razón y de proporción  numérica. Propiedades relacionadas con las proporciones. Propiedad fundamental concepto y aplicación.  Problemas a fin.  Regla de tres simple y compuesta. Porcentaje.</w:t>
      </w:r>
      <w:r w:rsidRPr="00624259">
        <w:rPr>
          <w:bCs/>
          <w:sz w:val="22"/>
          <w:szCs w:val="22"/>
        </w:rPr>
        <w:t xml:space="preserve"> Proporcionalidad geométrica</w:t>
      </w:r>
      <w:r w:rsidRPr="00624259">
        <w:rPr>
          <w:sz w:val="22"/>
          <w:szCs w:val="22"/>
        </w:rPr>
        <w:t xml:space="preserve">. </w:t>
      </w:r>
      <w:r>
        <w:rPr>
          <w:sz w:val="22"/>
          <w:szCs w:val="22"/>
        </w:rPr>
        <w:t>T</w:t>
      </w:r>
      <w:r w:rsidRPr="00624259">
        <w:rPr>
          <w:b/>
          <w:sz w:val="22"/>
          <w:szCs w:val="22"/>
        </w:rPr>
        <w:t xml:space="preserve">eorema de </w:t>
      </w:r>
      <w:proofErr w:type="spellStart"/>
      <w:r w:rsidRPr="00624259">
        <w:rPr>
          <w:b/>
          <w:sz w:val="22"/>
          <w:szCs w:val="22"/>
        </w:rPr>
        <w:t>Thales</w:t>
      </w:r>
      <w:proofErr w:type="spellEnd"/>
      <w:r w:rsidRPr="00624259">
        <w:rPr>
          <w:sz w:val="22"/>
          <w:szCs w:val="22"/>
        </w:rPr>
        <w:t xml:space="preserve">. Aplicaciones. </w:t>
      </w:r>
      <w:r w:rsidRPr="00624259">
        <w:rPr>
          <w:rFonts w:eastAsia="UniversLTStd-Light"/>
          <w:sz w:val="22"/>
          <w:szCs w:val="22"/>
          <w:lang w:eastAsia="es-ES_tradnl"/>
        </w:rPr>
        <w:t>División de un segmento en partes iguales como recurso para representar números racionales en la recta numérica</w:t>
      </w:r>
      <w:r>
        <w:rPr>
          <w:rFonts w:eastAsia="UniversLTStd-Light"/>
          <w:sz w:val="22"/>
          <w:szCs w:val="22"/>
          <w:lang w:eastAsia="es-ES_tradnl"/>
        </w:rPr>
        <w:t xml:space="preserve">. </w:t>
      </w:r>
      <w:r w:rsidRPr="00624259">
        <w:rPr>
          <w:sz w:val="22"/>
          <w:szCs w:val="22"/>
        </w:rPr>
        <w:t xml:space="preserve">Construcciones </w:t>
      </w:r>
      <w:r w:rsidRPr="00624259">
        <w:rPr>
          <w:b/>
          <w:sz w:val="22"/>
          <w:szCs w:val="22"/>
        </w:rPr>
        <w:t xml:space="preserve">Puntos notables de un </w:t>
      </w:r>
      <w:proofErr w:type="spellStart"/>
      <w:r w:rsidRPr="00624259">
        <w:rPr>
          <w:b/>
          <w:sz w:val="22"/>
          <w:szCs w:val="22"/>
        </w:rPr>
        <w:t>triangulo</w:t>
      </w:r>
      <w:proofErr w:type="spellEnd"/>
      <w:r w:rsidRPr="00624259">
        <w:rPr>
          <w:sz w:val="22"/>
          <w:szCs w:val="22"/>
        </w:rPr>
        <w:t xml:space="preserve">: Bisectriz, mediana, mediatriz, altura. Criterios de congruencia y semejanza. </w:t>
      </w:r>
    </w:p>
    <w:p w:rsidR="00D04342" w:rsidRPr="00624259" w:rsidRDefault="00D04342" w:rsidP="00D04342">
      <w:pPr>
        <w:autoSpaceDE w:val="0"/>
        <w:autoSpaceDN w:val="0"/>
        <w:adjustRightInd w:val="0"/>
        <w:rPr>
          <w:rFonts w:eastAsia="UniversLTStd-Light"/>
          <w:sz w:val="22"/>
          <w:szCs w:val="22"/>
          <w:lang w:eastAsia="es-ES_tradnl"/>
        </w:rPr>
      </w:pPr>
    </w:p>
    <w:p w:rsidR="00D04342" w:rsidRPr="00624259" w:rsidRDefault="00D04342" w:rsidP="00D04342">
      <w:pPr>
        <w:autoSpaceDE w:val="0"/>
        <w:autoSpaceDN w:val="0"/>
        <w:adjustRightInd w:val="0"/>
        <w:rPr>
          <w:b/>
          <w:bCs/>
          <w:sz w:val="22"/>
          <w:szCs w:val="22"/>
          <w:lang w:eastAsia="es-ES_tradnl"/>
        </w:rPr>
      </w:pPr>
      <w:r w:rsidRPr="00624259">
        <w:rPr>
          <w:b/>
          <w:bCs/>
          <w:sz w:val="22"/>
          <w:szCs w:val="22"/>
          <w:lang w:eastAsia="es-ES_tradnl"/>
        </w:rPr>
        <w:t xml:space="preserve">Unidad </w:t>
      </w:r>
      <w:r>
        <w:rPr>
          <w:b/>
          <w:bCs/>
          <w:sz w:val="22"/>
          <w:szCs w:val="22"/>
          <w:lang w:eastAsia="es-ES_tradnl"/>
        </w:rPr>
        <w:t>6</w:t>
      </w:r>
      <w:r w:rsidRPr="00624259">
        <w:rPr>
          <w:b/>
          <w:bCs/>
          <w:sz w:val="22"/>
          <w:szCs w:val="22"/>
          <w:lang w:eastAsia="es-ES_tradnl"/>
        </w:rPr>
        <w:t xml:space="preserve">: </w:t>
      </w:r>
      <w:r>
        <w:rPr>
          <w:b/>
          <w:bCs/>
          <w:sz w:val="22"/>
          <w:szCs w:val="22"/>
          <w:lang w:eastAsia="es-ES_tradnl"/>
        </w:rPr>
        <w:t>T</w:t>
      </w:r>
      <w:r w:rsidRPr="00624259">
        <w:rPr>
          <w:b/>
          <w:bCs/>
          <w:sz w:val="22"/>
          <w:szCs w:val="22"/>
          <w:lang w:eastAsia="es-ES_tradnl"/>
        </w:rPr>
        <w:t xml:space="preserve">riángulos </w:t>
      </w:r>
    </w:p>
    <w:p w:rsidR="00D04342" w:rsidRPr="00624259" w:rsidRDefault="00D04342" w:rsidP="00D04342">
      <w:pPr>
        <w:autoSpaceDE w:val="0"/>
        <w:autoSpaceDN w:val="0"/>
        <w:adjustRightInd w:val="0"/>
        <w:jc w:val="both"/>
        <w:rPr>
          <w:rFonts w:eastAsia="UniversLTStd-Light"/>
          <w:sz w:val="22"/>
          <w:szCs w:val="22"/>
          <w:lang w:eastAsia="es-ES_tradnl"/>
        </w:rPr>
      </w:pPr>
      <w:r w:rsidRPr="00624259">
        <w:rPr>
          <w:b/>
          <w:sz w:val="22"/>
          <w:szCs w:val="22"/>
        </w:rPr>
        <w:t>Teorema de Pitágoras</w:t>
      </w:r>
      <w:r w:rsidRPr="00624259">
        <w:rPr>
          <w:sz w:val="22"/>
          <w:szCs w:val="22"/>
        </w:rPr>
        <w:t xml:space="preserve"> y sus </w:t>
      </w:r>
      <w:r>
        <w:rPr>
          <w:sz w:val="22"/>
          <w:szCs w:val="22"/>
        </w:rPr>
        <w:t xml:space="preserve">diversas </w:t>
      </w:r>
      <w:r w:rsidRPr="00624259">
        <w:rPr>
          <w:sz w:val="22"/>
          <w:szCs w:val="22"/>
        </w:rPr>
        <w:t>aplicaciones</w:t>
      </w:r>
      <w:r>
        <w:rPr>
          <w:sz w:val="22"/>
          <w:szCs w:val="22"/>
        </w:rPr>
        <w:t>. T</w:t>
      </w:r>
      <w:r w:rsidRPr="00624259">
        <w:rPr>
          <w:sz w:val="22"/>
          <w:szCs w:val="22"/>
        </w:rPr>
        <w:t xml:space="preserve">riángulo rectángulo isósceles: </w:t>
      </w:r>
      <w:r>
        <w:rPr>
          <w:sz w:val="22"/>
          <w:szCs w:val="22"/>
        </w:rPr>
        <w:t xml:space="preserve">características y su </w:t>
      </w:r>
      <w:r w:rsidRPr="00624259">
        <w:rPr>
          <w:sz w:val="22"/>
          <w:szCs w:val="22"/>
        </w:rPr>
        <w:t xml:space="preserve">relación </w:t>
      </w:r>
      <w:r>
        <w:rPr>
          <w:sz w:val="22"/>
          <w:szCs w:val="22"/>
        </w:rPr>
        <w:t xml:space="preserve">con </w:t>
      </w:r>
      <w:r w:rsidRPr="00624259">
        <w:rPr>
          <w:sz w:val="22"/>
          <w:szCs w:val="22"/>
        </w:rPr>
        <w:t>el área de un cuadrado y el área del cuadrado construido sobre su diagonal. Relación entre las medidas de los lados de un</w:t>
      </w:r>
      <w:r>
        <w:rPr>
          <w:sz w:val="22"/>
          <w:szCs w:val="22"/>
        </w:rPr>
        <w:t xml:space="preserve"> triángulo rectángulo isósceles</w:t>
      </w:r>
      <w:r w:rsidRPr="00624259">
        <w:rPr>
          <w:sz w:val="22"/>
          <w:szCs w:val="22"/>
        </w:rPr>
        <w:t>. Problemas que se resuelven mediante la relación de Pitágoras</w:t>
      </w:r>
    </w:p>
    <w:p w:rsidR="00D04342" w:rsidRPr="00624259" w:rsidRDefault="00D04342" w:rsidP="00D04342">
      <w:pPr>
        <w:autoSpaceDE w:val="0"/>
        <w:autoSpaceDN w:val="0"/>
        <w:adjustRightInd w:val="0"/>
        <w:jc w:val="both"/>
        <w:rPr>
          <w:rFonts w:eastAsia="UniversLTStd-Light"/>
          <w:sz w:val="22"/>
          <w:szCs w:val="22"/>
          <w:lang w:eastAsia="es-ES_tradnl"/>
        </w:rPr>
      </w:pPr>
    </w:p>
    <w:p w:rsidR="00D04342" w:rsidRPr="00624259" w:rsidRDefault="00D04342" w:rsidP="00D04342">
      <w:pPr>
        <w:rPr>
          <w:b/>
          <w:sz w:val="22"/>
          <w:szCs w:val="22"/>
        </w:rPr>
      </w:pPr>
      <w:r w:rsidRPr="00624259">
        <w:rPr>
          <w:b/>
          <w:bCs/>
          <w:sz w:val="22"/>
          <w:szCs w:val="22"/>
        </w:rPr>
        <w:t>U</w:t>
      </w:r>
      <w:r>
        <w:rPr>
          <w:b/>
          <w:bCs/>
          <w:sz w:val="22"/>
          <w:szCs w:val="22"/>
        </w:rPr>
        <w:t>nidad</w:t>
      </w:r>
      <w:r w:rsidRPr="00624259">
        <w:rPr>
          <w:b/>
          <w:bCs/>
          <w:sz w:val="22"/>
          <w:szCs w:val="22"/>
        </w:rPr>
        <w:t xml:space="preserve"> </w:t>
      </w:r>
      <w:r>
        <w:rPr>
          <w:b/>
          <w:bCs/>
          <w:sz w:val="22"/>
          <w:szCs w:val="22"/>
        </w:rPr>
        <w:t>7</w:t>
      </w:r>
      <w:proofErr w:type="gramStart"/>
      <w:r>
        <w:rPr>
          <w:b/>
          <w:bCs/>
          <w:sz w:val="22"/>
          <w:szCs w:val="22"/>
        </w:rPr>
        <w:t>:</w:t>
      </w:r>
      <w:r w:rsidRPr="00624259">
        <w:rPr>
          <w:b/>
          <w:sz w:val="22"/>
          <w:szCs w:val="22"/>
        </w:rPr>
        <w:t xml:space="preserve">  </w:t>
      </w:r>
      <w:r>
        <w:rPr>
          <w:b/>
          <w:sz w:val="22"/>
          <w:szCs w:val="22"/>
        </w:rPr>
        <w:t>Cuadriláteros</w:t>
      </w:r>
      <w:proofErr w:type="gramEnd"/>
      <w:r>
        <w:rPr>
          <w:b/>
          <w:sz w:val="22"/>
          <w:szCs w:val="22"/>
        </w:rPr>
        <w:t xml:space="preserve"> y Circunferencia</w:t>
      </w:r>
    </w:p>
    <w:p w:rsidR="00D04342" w:rsidRPr="00624259" w:rsidRDefault="00D04342" w:rsidP="00D04342">
      <w:pPr>
        <w:jc w:val="both"/>
        <w:rPr>
          <w:sz w:val="22"/>
          <w:szCs w:val="22"/>
        </w:rPr>
      </w:pPr>
      <w:r w:rsidRPr="00624259">
        <w:rPr>
          <w:sz w:val="22"/>
          <w:szCs w:val="22"/>
        </w:rPr>
        <w:t>Construcción, propiedades y característica particulares de</w:t>
      </w:r>
      <w:proofErr w:type="gramStart"/>
      <w:r w:rsidRPr="00624259">
        <w:rPr>
          <w:sz w:val="22"/>
          <w:szCs w:val="22"/>
        </w:rPr>
        <w:t xml:space="preserve">: </w:t>
      </w:r>
      <w:r>
        <w:rPr>
          <w:sz w:val="22"/>
          <w:szCs w:val="22"/>
        </w:rPr>
        <w:t xml:space="preserve"> </w:t>
      </w:r>
      <w:proofErr w:type="spellStart"/>
      <w:r w:rsidRPr="00624259">
        <w:rPr>
          <w:b/>
          <w:i/>
          <w:sz w:val="22"/>
          <w:szCs w:val="22"/>
          <w:lang w:val="pt-BR"/>
        </w:rPr>
        <w:t>Cuadriláteros</w:t>
      </w:r>
      <w:proofErr w:type="spellEnd"/>
      <w:proofErr w:type="gramEnd"/>
      <w:r w:rsidRPr="00624259">
        <w:rPr>
          <w:i/>
          <w:sz w:val="22"/>
          <w:szCs w:val="22"/>
          <w:lang w:val="pt-BR"/>
        </w:rPr>
        <w:t xml:space="preserve">: </w:t>
      </w:r>
      <w:r w:rsidRPr="00624259">
        <w:rPr>
          <w:sz w:val="22"/>
          <w:szCs w:val="22"/>
          <w:lang w:val="pt-BR"/>
        </w:rPr>
        <w:t xml:space="preserve">Paralelogramo. </w:t>
      </w:r>
      <w:proofErr w:type="spellStart"/>
      <w:r w:rsidRPr="00624259">
        <w:rPr>
          <w:sz w:val="22"/>
          <w:szCs w:val="22"/>
          <w:lang w:val="pt-BR"/>
        </w:rPr>
        <w:t>Rectángulo</w:t>
      </w:r>
      <w:proofErr w:type="spellEnd"/>
      <w:r w:rsidRPr="00624259">
        <w:rPr>
          <w:sz w:val="22"/>
          <w:szCs w:val="22"/>
          <w:lang w:val="pt-BR"/>
        </w:rPr>
        <w:t xml:space="preserve">. Rombo. Romboide. </w:t>
      </w:r>
      <w:r w:rsidRPr="00624259">
        <w:rPr>
          <w:sz w:val="22"/>
          <w:szCs w:val="22"/>
        </w:rPr>
        <w:t>Cuadrado. Trapecio.  Propiedades de Ángulos interiores de un cuadrilátero. Clasificación según sus lados y sus ángulos. Propiedades de los ángulos interiores y exteriores. Relaciones entre lados y ángulos. Base media.</w:t>
      </w:r>
      <w:r>
        <w:rPr>
          <w:sz w:val="22"/>
          <w:szCs w:val="22"/>
        </w:rPr>
        <w:t xml:space="preserve"> </w:t>
      </w:r>
      <w:r w:rsidRPr="00624259">
        <w:rPr>
          <w:b/>
          <w:i/>
          <w:sz w:val="22"/>
          <w:szCs w:val="22"/>
        </w:rPr>
        <w:t>Polígonos</w:t>
      </w:r>
      <w:r w:rsidRPr="00624259">
        <w:rPr>
          <w:i/>
          <w:sz w:val="22"/>
          <w:szCs w:val="22"/>
        </w:rPr>
        <w:t xml:space="preserve">: </w:t>
      </w:r>
      <w:r w:rsidRPr="00624259">
        <w:rPr>
          <w:sz w:val="22"/>
          <w:szCs w:val="22"/>
        </w:rPr>
        <w:t>Medidas en los polígonos regulares.  Construcción de polígonos regulares.</w:t>
      </w:r>
      <w:r>
        <w:rPr>
          <w:sz w:val="22"/>
          <w:szCs w:val="22"/>
        </w:rPr>
        <w:t xml:space="preserve"> </w:t>
      </w:r>
      <w:r w:rsidRPr="00624259">
        <w:rPr>
          <w:b/>
          <w:sz w:val="22"/>
          <w:szCs w:val="22"/>
        </w:rPr>
        <w:t xml:space="preserve">Circunferencia y círculo: </w:t>
      </w:r>
      <w:r w:rsidRPr="00624259">
        <w:rPr>
          <w:sz w:val="22"/>
          <w:szCs w:val="22"/>
        </w:rPr>
        <w:t xml:space="preserve">Elementos de una circunferencia.  Posiciones relativas entre una recta y una circunferencia. Longitud de la circunferencia. Área de un círculo. Ángulos inscriptos y </w:t>
      </w:r>
      <w:proofErr w:type="spellStart"/>
      <w:r w:rsidRPr="00624259">
        <w:rPr>
          <w:sz w:val="22"/>
          <w:szCs w:val="22"/>
        </w:rPr>
        <w:t>semiinscriptos</w:t>
      </w:r>
      <w:proofErr w:type="spellEnd"/>
      <w:r w:rsidRPr="00624259">
        <w:rPr>
          <w:sz w:val="22"/>
          <w:szCs w:val="22"/>
        </w:rPr>
        <w:t>.</w:t>
      </w:r>
    </w:p>
    <w:p w:rsidR="00D04342" w:rsidRPr="00624259" w:rsidRDefault="00D04342" w:rsidP="00D04342">
      <w:pPr>
        <w:autoSpaceDE w:val="0"/>
        <w:autoSpaceDN w:val="0"/>
        <w:adjustRightInd w:val="0"/>
        <w:rPr>
          <w:rFonts w:eastAsia="UniversLTStd-Light"/>
          <w:sz w:val="22"/>
          <w:szCs w:val="22"/>
          <w:lang w:eastAsia="es-ES_tradnl"/>
        </w:rPr>
      </w:pPr>
    </w:p>
    <w:p w:rsidR="00D04342" w:rsidRPr="00624259" w:rsidRDefault="00D04342" w:rsidP="00D04342">
      <w:pPr>
        <w:rPr>
          <w:b/>
          <w:sz w:val="22"/>
          <w:szCs w:val="22"/>
        </w:rPr>
      </w:pPr>
      <w:r w:rsidRPr="00624259">
        <w:rPr>
          <w:b/>
          <w:sz w:val="22"/>
          <w:szCs w:val="22"/>
        </w:rPr>
        <w:t>Unidad VII  estadística y combinatoria</w:t>
      </w:r>
    </w:p>
    <w:p w:rsidR="00D04342" w:rsidRPr="005E5056" w:rsidRDefault="00D04342" w:rsidP="00D04342">
      <w:pPr>
        <w:rPr>
          <w:b/>
        </w:rPr>
      </w:pPr>
      <w:r w:rsidRPr="00624259">
        <w:rPr>
          <w:sz w:val="22"/>
          <w:szCs w:val="22"/>
        </w:rPr>
        <w:t xml:space="preserve">Introducción al estudio estadístico. Población. Variables estadísticas. Frecuencia. Representación gráfica, histogramas, de barras, poligonal de frecuencias, circulares. Medidas de centralización. Mediana, media, medida de dispersión: rango,  desviación media, varianza, desviación típica. Combinatoria: introducción a </w:t>
      </w:r>
      <w:r w:rsidRPr="005E5056">
        <w:t>la combinatoria. Combinaciones, variaciones, permutaciones. Calculo de variaciones, de permutaciones, de combinaciones. Números combinatorios, propiedades</w:t>
      </w:r>
    </w:p>
    <w:p w:rsidR="00D04342" w:rsidRDefault="00D04342" w:rsidP="00D04342">
      <w:pPr>
        <w:rPr>
          <w:sz w:val="22"/>
          <w:szCs w:val="22"/>
        </w:rPr>
      </w:pPr>
    </w:p>
    <w:p w:rsidR="00D04342" w:rsidRPr="008D7226" w:rsidRDefault="00D04342" w:rsidP="00D04342">
      <w:pPr>
        <w:rPr>
          <w:b/>
          <w:u w:val="single"/>
        </w:rPr>
      </w:pPr>
      <w:r w:rsidRPr="008D7226">
        <w:rPr>
          <w:b/>
          <w:u w:val="single"/>
        </w:rPr>
        <w:t>CRITERIOS DE EVALUACIÓN GENERALES</w:t>
      </w:r>
    </w:p>
    <w:p w:rsidR="00D04342" w:rsidRPr="008D7226" w:rsidRDefault="00D04342" w:rsidP="00D04342">
      <w:r w:rsidRPr="008D7226">
        <w:t>Se tomará dos o tres evaluaciones de tipo escrita formal por trimestre, cuyos objetivos serán fijados en cada ocasión y serán avisadas con antelación.  Presentación del cuaderno según lo pautado (ver pautas de trabajos). Presentación de trabajos prácticos conforme a las pautas preestablecidas y habrá una valorización actitudinal.</w:t>
      </w:r>
    </w:p>
    <w:p w:rsidR="00D04342" w:rsidRPr="008D7226" w:rsidRDefault="00D04342" w:rsidP="00D04342">
      <w:pPr>
        <w:jc w:val="both"/>
        <w:rPr>
          <w:b/>
        </w:rPr>
      </w:pPr>
    </w:p>
    <w:p w:rsidR="00D04342" w:rsidRPr="008D7226" w:rsidRDefault="00D04342" w:rsidP="00D04342">
      <w:pPr>
        <w:rPr>
          <w:b/>
          <w:u w:val="single"/>
        </w:rPr>
      </w:pPr>
      <w:r w:rsidRPr="008D7226">
        <w:rPr>
          <w:b/>
          <w:u w:val="single"/>
        </w:rPr>
        <w:t>BIBLIOGRAFÍA:</w:t>
      </w:r>
    </w:p>
    <w:p w:rsidR="00D04342" w:rsidRPr="008D7226" w:rsidRDefault="00D04342" w:rsidP="00D04342">
      <w:pPr>
        <w:numPr>
          <w:ilvl w:val="0"/>
          <w:numId w:val="2"/>
        </w:numPr>
        <w:tabs>
          <w:tab w:val="clear" w:pos="567"/>
          <w:tab w:val="num" w:pos="0"/>
          <w:tab w:val="left" w:pos="284"/>
        </w:tabs>
        <w:ind w:left="0" w:firstLine="0"/>
        <w:jc w:val="both"/>
      </w:pPr>
      <w:r w:rsidRPr="008D7226">
        <w:t xml:space="preserve">LILIANA LAURITO - LAURA B. DE STISIN - EDUARDO TRAMA - DORA ZIGER - ESTELA SIDELSKY, 2001. </w:t>
      </w:r>
      <w:r w:rsidRPr="008D7226">
        <w:rPr>
          <w:i/>
        </w:rPr>
        <w:t>Matemática 9 probabilidad y estadística. Activa</w:t>
      </w:r>
      <w:r w:rsidRPr="008D7226">
        <w:t>. Editorial: Puerto de Palos</w:t>
      </w:r>
    </w:p>
    <w:p w:rsidR="00D04342" w:rsidRPr="008D7226" w:rsidRDefault="00D04342" w:rsidP="00D04342">
      <w:pPr>
        <w:numPr>
          <w:ilvl w:val="0"/>
          <w:numId w:val="2"/>
        </w:numPr>
        <w:tabs>
          <w:tab w:val="clear" w:pos="567"/>
          <w:tab w:val="num" w:pos="284"/>
        </w:tabs>
        <w:ind w:left="0" w:firstLine="0"/>
        <w:jc w:val="both"/>
      </w:pPr>
      <w:r w:rsidRPr="008D7226">
        <w:t>GRACIELA CORTÉS, 2010, primera edición.</w:t>
      </w:r>
      <w:r w:rsidRPr="008D7226">
        <w:rPr>
          <w:i/>
        </w:rPr>
        <w:t xml:space="preserve"> Matemática II</w:t>
      </w:r>
      <w:r w:rsidRPr="008D7226">
        <w:t>. Editorial Stella</w:t>
      </w:r>
    </w:p>
    <w:p w:rsidR="00D04342" w:rsidRPr="008D7226" w:rsidRDefault="00D04342" w:rsidP="00D04342">
      <w:pPr>
        <w:numPr>
          <w:ilvl w:val="0"/>
          <w:numId w:val="2"/>
        </w:numPr>
        <w:tabs>
          <w:tab w:val="clear" w:pos="567"/>
          <w:tab w:val="num" w:pos="0"/>
          <w:tab w:val="left" w:pos="284"/>
        </w:tabs>
        <w:ind w:left="0" w:firstLine="0"/>
        <w:jc w:val="both"/>
      </w:pPr>
      <w:r w:rsidRPr="008D7226">
        <w:t xml:space="preserve">ROJO, Armando; SANCHEZ, Silvia; GRECO, Mario. 1980. </w:t>
      </w:r>
      <w:r w:rsidRPr="008D7226">
        <w:rPr>
          <w:i/>
        </w:rPr>
        <w:t>Matemática II (enseñanza técnica).</w:t>
      </w:r>
      <w:r w:rsidRPr="008D7226">
        <w:t xml:space="preserve"> Ed</w:t>
      </w:r>
      <w:r>
        <w:t>.</w:t>
      </w:r>
      <w:r w:rsidRPr="008D7226">
        <w:t xml:space="preserve"> El Ateneo</w:t>
      </w:r>
    </w:p>
    <w:p w:rsidR="00D04342" w:rsidRPr="000E6D7A" w:rsidRDefault="00D04342" w:rsidP="00D04342">
      <w:pPr>
        <w:numPr>
          <w:ilvl w:val="0"/>
          <w:numId w:val="2"/>
        </w:numPr>
        <w:tabs>
          <w:tab w:val="clear" w:pos="567"/>
          <w:tab w:val="num" w:pos="0"/>
          <w:tab w:val="left" w:pos="284"/>
        </w:tabs>
        <w:ind w:left="0" w:firstLine="0"/>
        <w:jc w:val="both"/>
      </w:pPr>
      <w:r w:rsidRPr="000E6D7A">
        <w:t xml:space="preserve">BOGANI, Ana María; ESTEVEZ DE DESTUET, Elsa Dolores; OHARRIZ Mary Gloria. 1992 Quinta edición. </w:t>
      </w:r>
      <w:r w:rsidRPr="000E6D7A">
        <w:rPr>
          <w:i/>
        </w:rPr>
        <w:t>Matemática II</w:t>
      </w:r>
      <w:r w:rsidRPr="000E6D7A">
        <w:t xml:space="preserve">. Editorial Plus Ultra </w:t>
      </w:r>
    </w:p>
    <w:p w:rsidR="00D04342" w:rsidRPr="000E6D7A" w:rsidRDefault="00D04342" w:rsidP="00D04342">
      <w:pPr>
        <w:numPr>
          <w:ilvl w:val="0"/>
          <w:numId w:val="2"/>
        </w:numPr>
        <w:tabs>
          <w:tab w:val="clear" w:pos="567"/>
          <w:tab w:val="num" w:pos="284"/>
        </w:tabs>
        <w:ind w:left="540" w:hanging="540"/>
        <w:jc w:val="both"/>
      </w:pPr>
      <w:r w:rsidRPr="000E6D7A">
        <w:t xml:space="preserve">FABIAN JESÉ, 2014, </w:t>
      </w:r>
      <w:r w:rsidRPr="000E6D7A">
        <w:rPr>
          <w:i/>
        </w:rPr>
        <w:t xml:space="preserve"> Matemática 2</w:t>
      </w:r>
      <w:r w:rsidRPr="000E6D7A">
        <w:t>, Editorial de oro.</w:t>
      </w:r>
    </w:p>
    <w:p w:rsidR="005A3A2A" w:rsidRDefault="005A3A2A"/>
    <w:sectPr w:rsidR="005A3A2A" w:rsidSect="00D04342">
      <w:pgSz w:w="11906" w:h="16838"/>
      <w:pgMar w:top="1134" w:right="1077" w:bottom="124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LTStd-Light">
    <w:altName w:val="Arial Unicode MS"/>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367B"/>
    <w:multiLevelType w:val="hybridMultilevel"/>
    <w:tmpl w:val="998C1BA8"/>
    <w:lvl w:ilvl="0" w:tplc="12104090">
      <w:start w:val="1"/>
      <w:numFmt w:val="bullet"/>
      <w:lvlText w:val=""/>
      <w:lvlJc w:val="left"/>
      <w:pPr>
        <w:tabs>
          <w:tab w:val="num" w:pos="567"/>
        </w:tabs>
        <w:ind w:left="1134" w:hanging="774"/>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
    <w:nsid w:val="05E605B4"/>
    <w:multiLevelType w:val="hybridMultilevel"/>
    <w:tmpl w:val="000AE2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342"/>
    <w:rsid w:val="005A3A2A"/>
    <w:rsid w:val="00D0434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42"/>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D04342"/>
    <w:rPr>
      <w:sz w:val="24"/>
    </w:rPr>
  </w:style>
  <w:style w:type="character" w:customStyle="1" w:styleId="TextoindependienteCar">
    <w:name w:val="Texto independiente Car"/>
    <w:basedOn w:val="Fuentedeprrafopredeter"/>
    <w:link w:val="Textoindependiente"/>
    <w:rsid w:val="00D04342"/>
    <w:rPr>
      <w:rFonts w:ascii="Times New Roman" w:eastAsia="Times New Roman" w:hAnsi="Times New Roman" w:cs="Times New Roman"/>
      <w:sz w:val="24"/>
      <w:szCs w:val="20"/>
      <w:lang w:val="es-ES_tradnl" w:eastAsia="es-ES"/>
    </w:rPr>
  </w:style>
  <w:style w:type="character" w:styleId="Hipervnculo">
    <w:name w:val="Hyperlink"/>
    <w:uiPriority w:val="99"/>
    <w:rsid w:val="00D04342"/>
    <w:rPr>
      <w:color w:val="0000FF"/>
      <w:u w:val="single"/>
    </w:rPr>
  </w:style>
  <w:style w:type="paragraph" w:styleId="Textodeglobo">
    <w:name w:val="Balloon Text"/>
    <w:basedOn w:val="Normal"/>
    <w:link w:val="TextodegloboCar"/>
    <w:uiPriority w:val="99"/>
    <w:semiHidden/>
    <w:unhideWhenUsed/>
    <w:rsid w:val="00D04342"/>
    <w:rPr>
      <w:rFonts w:ascii="Tahoma" w:hAnsi="Tahoma" w:cs="Tahoma"/>
      <w:sz w:val="16"/>
      <w:szCs w:val="16"/>
    </w:rPr>
  </w:style>
  <w:style w:type="character" w:customStyle="1" w:styleId="TextodegloboCar">
    <w:name w:val="Texto de globo Car"/>
    <w:basedOn w:val="Fuentedeprrafopredeter"/>
    <w:link w:val="Textodeglobo"/>
    <w:uiPriority w:val="99"/>
    <w:semiHidden/>
    <w:rsid w:val="00D0434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42"/>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D04342"/>
    <w:rPr>
      <w:sz w:val="24"/>
    </w:rPr>
  </w:style>
  <w:style w:type="character" w:customStyle="1" w:styleId="TextoindependienteCar">
    <w:name w:val="Texto independiente Car"/>
    <w:basedOn w:val="Fuentedeprrafopredeter"/>
    <w:link w:val="Textoindependiente"/>
    <w:rsid w:val="00D04342"/>
    <w:rPr>
      <w:rFonts w:ascii="Times New Roman" w:eastAsia="Times New Roman" w:hAnsi="Times New Roman" w:cs="Times New Roman"/>
      <w:sz w:val="24"/>
      <w:szCs w:val="20"/>
      <w:lang w:val="es-ES_tradnl" w:eastAsia="es-ES"/>
    </w:rPr>
  </w:style>
  <w:style w:type="character" w:styleId="Hipervnculo">
    <w:name w:val="Hyperlink"/>
    <w:uiPriority w:val="99"/>
    <w:rsid w:val="00D04342"/>
    <w:rPr>
      <w:color w:val="0000FF"/>
      <w:u w:val="single"/>
    </w:rPr>
  </w:style>
  <w:style w:type="paragraph" w:styleId="Textodeglobo">
    <w:name w:val="Balloon Text"/>
    <w:basedOn w:val="Normal"/>
    <w:link w:val="TextodegloboCar"/>
    <w:uiPriority w:val="99"/>
    <w:semiHidden/>
    <w:unhideWhenUsed/>
    <w:rsid w:val="00D04342"/>
    <w:rPr>
      <w:rFonts w:ascii="Tahoma" w:hAnsi="Tahoma" w:cs="Tahoma"/>
      <w:sz w:val="16"/>
      <w:szCs w:val="16"/>
    </w:rPr>
  </w:style>
  <w:style w:type="character" w:customStyle="1" w:styleId="TextodegloboCar">
    <w:name w:val="Texto de globo Car"/>
    <w:basedOn w:val="Fuentedeprrafopredeter"/>
    <w:link w:val="Textodeglobo"/>
    <w:uiPriority w:val="99"/>
    <w:semiHidden/>
    <w:rsid w:val="00D0434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huertomosconi.edu.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1205</Words>
  <Characters>6632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2019-03-23T23:44:00Z</dcterms:created>
  <dcterms:modified xsi:type="dcterms:W3CDTF">2019-03-23T23:48:00Z</dcterms:modified>
</cp:coreProperties>
</file>